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404 "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darba vietas aprīkojuma iegādei vai nomai, tai skaitā aprīkojuma uzturēšanai un remontam, finansējuma saņēmēja projekta vadības un īstenošanas personālam jaunu darba vietu radīšanai vai esošo darba vietu atjaunošanai var paredzēt ne vairāk kā 3000 </w:t>
            </w:r>
            <w:r w:rsidR="00000000" w:rsidRPr="00000000" w:rsidDel="00000000">
              <w:rPr>
                <w:i w:val="1"/>
                <w:rtl w:val="0"/>
              </w:rPr>
              <w:t xml:space="preserve">euro </w:t>
            </w:r>
            <w:r w:rsidR="00000000" w:rsidRPr="00000000" w:rsidDel="00000000">
              <w:rPr>
                <w:rtl w:val="0"/>
              </w:rPr>
              <w:t xml:space="preserve">vienai darba vietai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slēgti uzņēmuma līgumi par projekta vadību, grāmatvedību vai tamlīdzīgu pakalpojumu sniegšanu, tad pēc būtības tas ir pakalpojums, ko piesaistītais personāls sniedz ar saviem materiālajiem resursiem, līdz ar to darba vietas aprīkojuma izmaksas šajā gadījumā nebūtu attiecināmas. Ņemot vērā iepriekš minēto, lūdzam izvērtēt, vai noteikumu projekta 16.2. apakšpunktā nebūtu jāveic precizējumi, norādot, ka darba vietas aprīkojuma izmaksas ir attiecināmas personālam, kas nodarbināti uz darba līguma vai rīkojuma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06.03.2025.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24-TA-3258</w:t>
    </w:r>
    <w:r>
      <w:br/>
    </w:r>
    <w:r w:rsidR="00000000" w:rsidRPr="00000000" w:rsidDel="00000000">
      <w:rPr>
        <w:rtl w:val="0"/>
      </w:rPr>
      <w:t xml:space="preserve">Izdrukāts 06.03.2025.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Atzinumi_24-TA-3258.docx</dc:title>
</cp:coreProperties>
</file>

<file path=docProps/custom.xml><?xml version="1.0" encoding="utf-8"?>
<Properties xmlns="http://schemas.openxmlformats.org/officeDocument/2006/custom-properties" xmlns:vt="http://schemas.openxmlformats.org/officeDocument/2006/docPropsVTypes"/>
</file>