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"Jaunvīcupi"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ņemot vērā faktu, ka zemesgrāmatā ierakstītas trešajai personai par labu nodibinātas lietu tiesības, vienojoties par Nekustamā īpašuma daļas labprātīgu atsavināšanu, pirms pirkuma līguma slēgšanas Institūcijai būs nepieciešams iegūt šīs personas saskaņojumu. Tiesiskai skaidrībai lūdzam papildināt anotāciju ar tiesisko pamatojumu šāda saskaņojuma nepieciešamībai, kā arī, kāpēc attiecīgo saskaņojumu paredzēts saņemt tikai pirms pirkuma līguma slēgšanas un kāda būs Institūcijas rīcība gadījumā, ja attiecīgā persona atteiksies šādu saskaņojumu 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kas noteic, ka sākotnējās ietekmes izvērtēšanas mērķis </w:t>
            </w:r>
            <w:r w:rsidR="00000000" w:rsidRPr="00000000" w:rsidDel="00000000">
              <w:rPr>
                <w:u w:val="single"/>
                <w:rtl w:val="0"/>
              </w:rPr>
              <w:t xml:space="preserve">ir apzināt ietekmi un sekas, ko var radīt projekts</w:t>
            </w:r>
            <w:r w:rsidR="00000000" w:rsidRPr="00000000" w:rsidDel="00000000">
              <w:rPr>
                <w:rtl w:val="0"/>
              </w:rPr>
              <w:t xml:space="preserve">, un, pamatojoties uz iegūtajiem secinājumiem, izvēlēties piemērotāko regulējuma apjomu, saturu un formu. Sākotnējās ietekmes </w:t>
            </w:r>
            <w:r w:rsidR="00000000" w:rsidRPr="00000000" w:rsidDel="00000000">
              <w:rPr>
                <w:u w:val="single"/>
                <w:rtl w:val="0"/>
              </w:rPr>
              <w:t xml:space="preserve">izvērtēšanas rezultātus atspoguļo anotācijā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Nr.606 "Ministru kabineta kārtības rullis" 44. punktu Tiesību akta lietai pievienot dokumentu, kas apliecina kopīpašnieku pieteikto prasījumu - par meliorācijas sistēmas funkcionalitātes nepārtrauktības ievērošanu projektēšanas un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Sabiedrības vajadzībām nepieciešamā nekustamā īpašuma atsavināšanas likuma 23.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 </w:t>
            </w:r>
            <w:r w:rsidR="00000000" w:rsidRPr="00000000" w:rsidDel="00000000">
              <w:rPr>
                <w:rtl w:val="0"/>
              </w:rPr>
              <w:t xml:space="preserve">precizējams paziņojumu Nr. 2.3.N/2024-123 un Nr. 2.3.N/2024-124 "Paziņojums par nekustamā īpašuma "Jaunvīcupi" Salacgrīvas pagastā, Limbažu novadā, kadastra Nr. 66720070298, atsavināšanas nepieciešamību sabiedrības vajadzību nodrošināšanai" nekustamā īpašuma kopīpašniekiem nosūtīšanas datums ( 2024. gada </w:t>
            </w:r>
            <w:r w:rsidR="00000000" w:rsidRPr="00000000" w:rsidDel="00000000">
              <w:rPr>
                <w:b w:val="1"/>
                <w:rtl w:val="0"/>
              </w:rPr>
              <w:t xml:space="preserve">11.</w:t>
            </w:r>
            <w:r w:rsidR="00000000" w:rsidRPr="00000000" w:rsidDel="00000000">
              <w:rPr>
                <w:rtl w:val="0"/>
              </w:rPr>
              <w:t xml:space="preserve"> 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24-TA-3107</w:t>
    </w:r>
    <w:r>
      <w:br/>
    </w:r>
    <w:r w:rsidR="00000000" w:rsidRPr="00000000" w:rsidDel="00000000">
      <w:rPr>
        <w:rtl w:val="0"/>
      </w:rPr>
      <w:t xml:space="preserve">Izdrukāts 06.12.2024.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24-TA-3107</w:t>
    </w:r>
    <w:r>
      <w:br/>
    </w:r>
    <w:r w:rsidR="00000000" w:rsidRPr="00000000" w:rsidDel="00000000">
      <w:rPr>
        <w:rtl w:val="0"/>
      </w:rPr>
      <w:t xml:space="preserve">Izdrukāts 06.12.2024.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Atzinumi_24-TA-3107.docx</dc:title>
</cp:coreProperties>
</file>

<file path=docProps/custom.xml><?xml version="1.0" encoding="utf-8"?>
<Properties xmlns="http://schemas.openxmlformats.org/officeDocument/2006/custom-properties" xmlns:vt="http://schemas.openxmlformats.org/officeDocument/2006/docPropsVTypes"/>
</file>