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25-TA-782: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5. septembra noteikumos Nr. 537 "Noteikumi par portfeļgarantijām sīko (mikro), mazo un vidējo saimnieciskās darbības veicēju – juridisko personu – kreditēšanas veicināšanai"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Garantiju sniedz kā </w:t>
            </w:r>
            <w:r w:rsidR="00000000" w:rsidRPr="00000000" w:rsidDel="00000000">
              <w:rPr>
                <w:i w:val="1"/>
                <w:rtl w:val="0"/>
              </w:rPr>
              <w:t xml:space="preserve">de minimis</w:t>
            </w:r>
            <w:r w:rsidR="00000000" w:rsidRPr="00000000" w:rsidDel="00000000">
              <w:rPr>
                <w:rtl w:val="0"/>
              </w:rPr>
              <w:t xml:space="preserve"> atbalstu saskaņā ar Komisijas 2023. gada 13. decembra Regulu (ES) Nr.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w:t>
            </w:r>
            <w:r w:rsidR="00000000" w:rsidRPr="00000000" w:rsidDel="00000000">
              <w:rPr>
                <w:rtl w:val="0"/>
              </w:rPr>
              <w:t xml:space="preserve">2023/2831</w:t>
            </w:r>
            <w:r w:rsidR="00000000" w:rsidRPr="00000000" w:rsidDel="00000000">
              <w:rPr>
                <w:rtl w:val="0"/>
              </w:rPr>
              <w:t xml:space="preserve">) vai Komisijas Regula 2013.gada 18.decembra Regulu (ES) Nr. 1408/2013 par Līguma par Eiropas Savienības darbību 107. un 108. panta piemērošanu de minimis atbalstam lauksaimniecības nozarē (turpmāk – Komisijas regula Nr.  1408/2013) vai kā garantiju, kas šo noteikumu ietvaros tiek piešķirts investīciju projektiem drošības un aizsardzības jomā, nav kvalificējams kā komercdarbības atbalsts, un tam nav jāpiemēro šajos noteikumos ietvertie Komisijas regulas Nr. 2023/2831 un Komisijas regulas Nr. 1408/2013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un skaitļus "nav kvalificējams kā komercdarbības atbalsts, un tam nav jāpiemēro šajos noteikumos ietvertie Komisijas regulas Nr. 2023/2831 un Komisijas regulas Nr. 1408/2013 nosacījumi.", jo minētais jau faktiski izriet no iepriekš norādītā, proti, ka attiecīgā garantija ir alternatīva citiem atbalsta veidiem, kurus sniedz saskaņā ar regulām, turklāt norāde par nekvalificēšanos kā komercdarbības atbalstu ir deklaratīva.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 garantijas tiek sniegtas investīciju projektiem drošības un aizsardzības jomā, ja komersants iesniedz sabiedrības "Altum" Aizsardzības ministrijas atzinumu par komersanta investīciju projekta atbilstību drošības un aizsardzības jomai ar izvērtējumu par investīciju projekta atbilstību militārajai vai divējāda pielietojuma produktu un tehnoloģiju specifikai.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konkretizēt, kas ir domāts ar divējāda pielietojuma produktu un tehnoloģiju specifiku. Nepieciešamības gadījumā lūdzam noteikumu projektā atsaukties uz ārējiem normatīvajiem aktiem, kas paredz konkrētas prasības attiecīgajiem produktiem un tehnoloģijām.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norādīt, kurā brīdī iesniedzams attiecīgais atzinums, piemēram, norādot, ar kādu dokumentu iesniedzams šis atzinums.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Par garantijas izsniegšanu, tostarp pagarinot iepriekš izsniegtās garantijas termiņu, piemēro vienreizēju garantijas prēmiju no garantijas segtās finanšu pakalpojumu summas saskaņā ar sabiedrības "Altum" cenrādi.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Apzināmies, ka līdzīgs tiesiskais regulējums pašlaik jau ir ietverts šajos noteikumos, tomēr lūdzam izvērtēt un noteikumu projekta anotācijā pamatot noteikumu projekta 12. punktā ietverto tiesisko regulējumu, tostarp tā pieļaujamību un atbilstību likumam noteiktajam pilnvarojumam Ministru kabinetam. Lūdzam arī skaidrot attiecīgā maksājuma tiesisko dabu, kā arī to, kādēļ paredzēts, ka vienreizējās garantijas maksas likmes nosaka un attiecīgi savā tīmekļvietnē publicē akciju sabiedrība "Attīstības finanšu institūcija Altum", nevis tās tiek ietvertas ārējā normatīvajā aktā (šajos noteikumos), ievērojot privātpersonu pamattiesības zināt savas tiesības. Vēršam uzmanību, ka Latvijas Republikas Senāta Administratīvo lietu departamenta 2024. gada 15. novembra lēmumā Nr. SKA-839/2024 norādīts, ka valsts atbalsta piešķiršana, pat, ja tā ietvaros tiek vērtēta pretendenta atbilstība privāttiesībām raksturīgiem kritērijiem, ir publiski tiesisks process. Savukārt Administratīvā procesa likuma 18. panta pirmā daļa paredz, ka administratīvais process iestādē privātpersonai ir bez maksas, ja likumā nav noteikts citādi.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Ja ir pārkāpti Komisijas regulas Nr. </w:t>
            </w:r>
            <w:r w:rsidR="00000000" w:rsidRPr="00000000" w:rsidDel="00000000">
              <w:rPr>
                <w:rtl w:val="0"/>
              </w:rPr>
              <w:t xml:space="preserve">2023/2831</w:t>
            </w:r>
            <w:r w:rsidR="00000000" w:rsidRPr="00000000" w:rsidDel="00000000">
              <w:rPr>
                <w:rtl w:val="0"/>
              </w:rPr>
              <w:t xml:space="preserve"> vai Komisijas regulas Nr. 1408/2013 nosacījumi, atbalsta saņēmējam ir pienākums atmaksāt finansētājam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vārdu "finansētājam" aizstājot ar vārdu "sabiedrībai "Altum"", ievērojot, ka valsts atbalstu sniedz un komercdarbības atbalsta kontroles nosacījumu ievērošanu pārbauda minētā sabiedrība. Alternatīvi lūdzam sniegt pamatotu skaidrojumu par minēto (proti, konkrētā grozījuma nepieciešamību un mērķi)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divus mēnešus pēc šo noteikumu projekta pieņemšanas Ministru kabinetā sadarbībā ar akciju sabiedrību "Attīstības finanšu institūcija Altum" saskaņā ar Attīstības finanšu institūcijas likuma 12. panta trešo daļu sagatavot programmas rādītāju un sagaidāmo zaudējumu novērtējumu un ekonomikas ministram iesniegt to izskatīšanai Ministru kabinetā.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7. pantu lūdzam vārdus "pieņemšanas Ministru kabinetā" aizstāt ar vārdu "izsludināšanas" vai vārdus "projekta pieņemšanas Ministru kabinetā" ar vārdiem "spēkā stāšanās".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Atlases ietvaros pieejamo finansējumu sadala starp finansētājiem, kas kvalificējušies atlasē saskaņā ar atlases nosacījumiem. Ja atlases ietvaros sākotnēji nav rezervēts viss pieejamais finansējums un atlases nosacījumi šādus nosacījumus paredz, sabiedrība "Altum" var slēgt līgumus arī ar citiem finansētājiem, kas kvalificējušies atlasē saskaņā ar atlases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Atlases ietvaros pieejamo finansējumu sadala starp finansētājiem, kas kvalificējušies atlasē saskaņā ar atlases nosacījumiem. Ja atlases ietvaros sākotnēji netiek rezervēts viss pieejamais finansējums un atlases nosacījumos ir paredzēta šāda iespēja, sabiedrība "Altum" var slēgt līgumus arī ar citiem finansētājiem, kas kvalificējušies atlasē saskaņā ar atlases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25-TA-782</w:t>
    </w:r>
    <w:r>
      <w:br/>
    </w:r>
    <w:r w:rsidR="00000000" w:rsidRPr="00000000" w:rsidDel="00000000">
      <w:rPr>
        <w:rtl w:val="0"/>
      </w:rPr>
      <w:t xml:space="preserve">Izdrukāts 13.06.2025. 15.36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25-TA-782</w:t>
    </w:r>
    <w:r>
      <w:br/>
    </w:r>
    <w:r w:rsidR="00000000" w:rsidRPr="00000000" w:rsidDel="00000000">
      <w:rPr>
        <w:rtl w:val="0"/>
      </w:rPr>
      <w:t xml:space="preserve">Izdrukāts 13.06.2025. 15.36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Atzinumi_25-TA-782.docx</dc:title>
</cp:coreProperties>
</file>

<file path=docProps/custom.xml><?xml version="1.0" encoding="utf-8"?>
<Properties xmlns="http://schemas.openxmlformats.org/officeDocument/2006/custom-properties" xmlns:vt="http://schemas.openxmlformats.org/officeDocument/2006/docPropsVTypes"/>
</file>