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piešķir finansējumu studiju nodrošināšanai valsts koledžām Augstskolu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šī panta grozījumiem anotācijas 2.1.sadaļā sniegta informācija, ka līdz šim studiju finansējums tika piešķirts, balstoties uz budžeta vietu skaitu un detalizētām normētām izmaksām par budžeta vietas studiju bāzi, studiju līmeņa un studiju tematiskās jomas koeficientiem, bet turpmāk tā vietā studiju finansējums tiks piešķirts kā viena summa, kuras ietvaros koledža noteiks un dibinātājs apstiprinās studiju vietu skaitu,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un pēc kādiem principiem turpmāk tiks noteikts gadskārtējā un vidēja termiņa valsts budžeta likumā plānojamais finansējums augstākajai izglītībai un kā pēc vienotiem principiem tiks noteikts piešķiramā finansējuma apmērs konkrētajām koledžām.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šīs sadaļas apakšsadaļā "Cita informācija" iekļauto otro teikumu. Norādām, ka saistītā likumprojekta "Grozījumi Augstskolu likumā" (25-TA-1838) anotācijā nav sniegti aprēķini par likumprojekta ietekmi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24.09.2025.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24.09.2025.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Atzinumi_25-TA-1840.docx</dc:title>
</cp:coreProperties>
</file>

<file path=docProps/custom.xml><?xml version="1.0" encoding="utf-8"?>
<Properties xmlns="http://schemas.openxmlformats.org/officeDocument/2006/custom-properties" xmlns:vt="http://schemas.openxmlformats.org/officeDocument/2006/docPropsVTypes"/>
</file>