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23-TA-2872: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risinājumiem elektroenerģijas sistēmas tarifu pieauguma prognozējamībai, izmaksu pieauguma mazināšanai un elektroenerģijas apakšlietotāju problemātikas risināšanai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risinājumiem elektroenerģijas sistēmas tarifu pieauguma prognozējamībai, izmaksu pieauguma mazināšanai un elektroenerģijas apakšlietotāju problemātikas risināšanai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2.1.1. sadaļas “Grozījumi Elektroenerģijas tirgus likumā” pēdējo rindkopu, paredzot, ka 2025.gadā finansējums tiks nodrošināts Klimata un enerģētikas ministrijas budžeta līdzekļu ietvaros, kā arī labojot norādīto Ministru kabineta sēdes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sadales sistēmas operatora grozījumu Elektroenerģijas tirgus likumā pārejas noteikumos paredzēto normu izpildes rezultātā negūto ieņēmumu kompensēšanai nepieciešamais valsts budžeta finansējums novērtēts līdz 50 milj. euro apmērā. Ministru kabineta 2023. gada</w:t>
            </w:r>
            <w:r w:rsidR="00000000" w:rsidRPr="00000000" w:rsidDel="00000000">
              <w:rPr>
                <w:b w:val="1"/>
                <w:rtl w:val="0"/>
              </w:rPr>
              <w:t xml:space="preserve"> 26</w:t>
            </w:r>
            <w:r w:rsidR="00000000" w:rsidRPr="00000000" w:rsidDel="00000000">
              <w:rPr>
                <w:rtl w:val="0"/>
              </w:rPr>
              <w:t xml:space="preserve">. septembra sēdē (protokols Nr. 47, 43. §), pieņemot informatīvajā ziņojumā “Par priekšlikumiem valsts budžeta prioritārajiem pasākumiem 2024. gadam un budžeta ietvaram 2024.-2026. gadam”  (turpmāk - Prioritāro pasākumu informatīvais ziņojums), pieņēma lēmumu no 2024. gada akciju sabiedrības “Latvenergo” dividenžu maksājumiem 74. resorā “Gadskārtējā valsts budžeta izpildes procesā pārdalāmais finansējums” rezervēt papildu finansējumu prioritārajam pasākumam “Atbalsts elektroenerģijas tarifu pieauguma kompensēšanai” 2024. gadā 50 milj. euro apmērā.  Ņemot vērā Ministrijas aplēses par elektroenerģijas sistēmas tarifu pieauguma griestu noteikšanai nepieciešamo finansējuma apjomu, attiecīgais finansējums 50 milj. euro apmērā ir pietiekams, lai nodrošinātu atbalsta pasākumu 2024. un 2025.gadā. </w:t>
            </w:r>
            <w:r w:rsidR="00000000" w:rsidRPr="00000000" w:rsidDel="00000000">
              <w:rPr>
                <w:b w:val="1"/>
                <w:rtl w:val="0"/>
              </w:rPr>
              <w:t xml:space="preserve">2025. gadā finansējums paredzētajam mērķim tiks nodrošināts Klimata un enerģētikas ministrijas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risinājumiem elektroenerģijas sistēmas tarifu pieauguma prognozējamībai, izmaksu pieauguma mazināšanai un elektroenerģijas apakšlietotāju problemātikas risināšanai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2.4.sadaļas  “Izvērtējums par AS “Augstsprieguma tīkls” un AS “Sadales tīkls” apvienošanu” pēdējo teikumu, norādot, ka izvērtējums par AS “Augstsprieguma tīkls” un AS “Sadales tīkls” apvienošanu vienā uzņēmumā tiks veikts Klimata un enerģētikas ministrijai </w:t>
            </w:r>
            <w:r w:rsidR="00000000" w:rsidRPr="00000000" w:rsidDel="00000000">
              <w:rPr>
                <w:u w:val="single"/>
                <w:rtl w:val="0"/>
              </w:rPr>
              <w:t xml:space="preserve">piešķirtā</w:t>
            </w:r>
            <w:r w:rsidR="00000000" w:rsidRPr="00000000" w:rsidDel="00000000">
              <w:rPr>
                <w:rtl w:val="0"/>
              </w:rPr>
              <w:t xml:space="preserve"> finansējuma ietvaros. Vienlaikus lūdzam papildināt informāciju ar izvērtējuma veikšanai provizoriski nepieciešamā finansējuma apmēru, Klimata un enerģētikas ministrijas budžeta programmu, kuras ietvaros tiks nodrošināts finansējums, kā arī no kādiem pasākumiem tas tiks novirzīts minētajam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23-TA-2872</w:t>
    </w:r>
    <w:r>
      <w:br/>
    </w:r>
    <w:r w:rsidR="00000000" w:rsidRPr="00000000" w:rsidDel="00000000">
      <w:rPr>
        <w:rtl w:val="0"/>
      </w:rPr>
      <w:t xml:space="preserve">Izdrukāts 07.03.2024. 18.29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23-TA-2872</w:t>
    </w:r>
    <w:r>
      <w:br/>
    </w:r>
    <w:r w:rsidR="00000000" w:rsidRPr="00000000" w:rsidDel="00000000">
      <w:rPr>
        <w:rtl w:val="0"/>
      </w:rPr>
      <w:t xml:space="preserve">Izdrukāts 07.03.2024. 18.29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Atzinumi_23-TA-2872.docx</dc:title>
</cp:coreProperties>
</file>

<file path=docProps/custom.xml><?xml version="1.0" encoding="utf-8"?>
<Properties xmlns="http://schemas.openxmlformats.org/officeDocument/2006/custom-properties" xmlns:vt="http://schemas.openxmlformats.org/officeDocument/2006/docPropsVTypes"/>
</file>