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(turpmāk- VADDA) ir iepazinusies ar Veselības ministrijas izstrādātajiem un izsludinātajiem grozījumiem MK Nr. 555 un iebilst, ka esošie MK 555 tiek papildināti ar 289.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minētais priekšlikums vērtējams, gan kā tas ietekmē konkurenci to tirgus dalībnieku vidū, kuriem ir noslēgti līgumi ar Nacionālo veselības dienestu par valsts apmaksāto ambulatoro pakalpojumu sniegšanu, gan kā tas ietekmē ambulatoro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MK Nr. 555 noteikto kārtību, NVD izsludina pakalpojumu sniedzēju atlasi uz valsts apmaksātu ambulatoro pakalpojumu iepirkšanu, plānojot pakalpojumus pa pakalpojumu plānošanas vienībām. Atlases procedūrā var pieteikties gan publiskās, gan privātās ārstniecības iestādes, kuras atbilst nolikumā izvirzītajām prasībām. Piedāvātie grozījumi paredz mainīt “spēles nosacījumus”, turklāt pietiekami voluntāri: “ārstniecības iestādes vēlme, NVD labvēlība”.  VADDA ieskatā faktiski tiek radīts mehānisms, lai VM varētu realizēt iecerēto slimnīcu tīkla reformu. Slimnīcām tiek piedāvāts “burkāns”: lai ārstniecības iestādei reformas rezultātā nesamazinātos kopīgais finansējums, tiek dota iespēja no stacionārajiem pakalpojumiem finansējumu pārdalīt uz ambulatorajiem pakalpojumiem. Šāda finansējuma pārdale nav balstīta uz objektīvu pacientu pieprasījuma, reģionālo vajadzību vai pakalpojumu pieejamības izvērtējumu, Tā arī neveicinās jau tā nepietiekošā finansējuma līdzsvarotu sadalījumu starp pakalpojumu plānošanas vienībām (reģionālo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“atbrīvojušos finanšu resursus no stacionāro pakalpojumu apjoma konkrētajās ārstniecības iestādes” neieliek “kopīgā katlā” un pārdali neveic datos, vajadzībās balstīti, bet gan kā tas iecerēts šajā projektā, tad tiek izjaukta ne tikai jau esošā kārtībā, bet arī iedzīvotājiem ambulatoro pakalpojumu pieejamība kļūst vēl atkarīgāka, kurā novadā dzīvo. Samazinot līmeni augstāka līmeņa stacionārajai iestādei uz lokālo slimnīcu (piemēram, Balvu un Gulbenes slimnīca), finansējums  stacionārajiem pakalpojumiem, ko var pārvirzīt uz ambulatorajiem pakalpojumiem, ir būtiski augstāks nekā jau tai, kurai jau šobrīd ir 1. līmenis (piemēram, Bauskas slimnīca).  Projektā plānots šādu “finansējuma pārdali” atļaut izmantot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Pieļaujot šādu finansējuma pārdali ārpus vispārējās atlases procedūras, tiks būtiski ietekmēti jau noslēgtie NVD līgumi ar ārstniecības iestādēm. Rezultātā privātās ambulatorās iestādes, kurām daudzus gadus ir noslēgti līgumi par ambulatoro pakalpojumu sniegšanu ar NVD, pakāpeniski tiks izspiestas no šī tirgus. Privātās ārstniecības iestādes ir ieguldījušas nozīmīgas investīcijas infrastruktūrā, medicīniskajās tehnoloģijās un personāla piesaistē, paļaujoties uz tiesisko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bez konkursa piešķirot kvotas ārstniecības iestādei, kura iepriekš šādus pakalpojumus nesniedza vai sniedza mazākā apjomā, veido situāciju, kad ārstniecības iestāde, kura tiesības ir ieguvusi juridiski korekti, objektīvu iemeslu dēļ nespēj izpildīt tai noteikto kvotu apjomu. Savukārt nākotnē tas var kalpot par pamatu NVD samazināt šai ārstniecības iestādei piešķirto finansējumu, lai gan neizpildes cēlonis ir pašas valsts pieņemtā finansēšanas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289. 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27.06.2026.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27.06.2026.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