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Valsts meža dienests intervenču plānu noraida, ja pretendents ir administratīvi sodīts saskaņā ar </w:t>
            </w:r>
            <w:r w:rsidR="00000000" w:rsidRPr="00000000" w:rsidDel="00000000">
              <w:rPr>
                <w:rtl w:val="0"/>
              </w:rPr>
              <w:t xml:space="preserve">Meža likuma</w:t>
            </w:r>
            <w:r w:rsidR="00000000" w:rsidRPr="00000000" w:rsidDel="00000000">
              <w:rPr>
                <w:rtl w:val="0"/>
              </w:rPr>
              <w:t xml:space="preserve"> 51. panta ceturto, sesto, astoto, desmito, vienpadsmito, divpadsmito, četrpadsmito, piecpadsmito vai sešpadsmito daļu un nav samaksājis administratīvo sodu.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49.punkts noteic, ka Valsts meža dienests intervenču plānu noraida, ja pretendents ir administratīvi sodīts saskaņā ar Meža likuma 51.panta ceturto, sesto, astoto, desmito, vienpadsmito, divpadsmito, četrpadsmito, piecpadsmito vai sešpadsmito daļu un nav samaksājis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noteikumu projektā un tā sākotnējās ietekmes (ex-ante) novērtējuma ziņojumā (turpmāk – anotācija) nav norādīts, no kāda informācijas avota tiks saņemta minētā informācija, kā arī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personu izdarītajiem administratīvajiem pārkāpumiem un noziedzīgajiem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Sodu reģistra likuma 21.panta pirmās daļas regulējumam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Iekšlietu ministrijas Informācijas centrs kā valsts informācijas sistēmas “Sodu reģistrs” pārzinis ir atbildīgs par personas datu apstrādes atbilstību Datu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projekta 49.punktā ietverto informāciju paredzēts iegūt no valsts informācijas sistēmas “Sodu reģistrs”, tad tiesiskās noteiktības nodrošināšanai, precizēt projektu vai anotāciju, norādot  noteikumu projekta 49.punktā ietvertās informācijas iegūšanas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09.06.2023.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09.06.2023.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Atzinumi_23-TA-395.docx</dc:title>
</cp:coreProperties>
</file>

<file path=docProps/custom.xml><?xml version="1.0" encoding="utf-8"?>
<Properties xmlns="http://schemas.openxmlformats.org/officeDocument/2006/custom-properties" xmlns:vt="http://schemas.openxmlformats.org/officeDocument/2006/docPropsVTypes"/>
</file>