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pieejamais kopējais finansējums ir 39 182 735 </w:t>
            </w:r>
            <w:r w:rsidR="00000000" w:rsidRPr="00000000" w:rsidDel="00000000">
              <w:rPr>
                <w:i w:val="1"/>
                <w:rtl w:val="0"/>
              </w:rPr>
              <w:t xml:space="preserve">euro</w:t>
            </w:r>
            <w:r w:rsidR="00000000" w:rsidRPr="00000000" w:rsidDel="00000000">
              <w:rPr>
                <w:rtl w:val="0"/>
              </w:rPr>
              <w:t xml:space="preserve">, tai skaitā Eiropas Reģionālās attīstības fonda finansējums – 33 305 324 </w:t>
            </w:r>
            <w:r w:rsidR="00000000" w:rsidRPr="00000000" w:rsidDel="00000000">
              <w:rPr>
                <w:i w:val="1"/>
                <w:rtl w:val="0"/>
              </w:rPr>
              <w:t xml:space="preserve">euro </w:t>
            </w:r>
            <w:r w:rsidR="00000000" w:rsidRPr="00000000" w:rsidDel="00000000">
              <w:rPr>
                <w:rtl w:val="0"/>
              </w:rPr>
              <w:t xml:space="preserve">un nacionālais finansējums (valsts budžeta finansējums, pašvaldību budžeta finansējums, privātais finansējums) – ne mazāk kā 5 877 411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15. punktā norādīto, ka projekta iesniedzējs/finansējuma saņēmējs pasākuma ietvaros ir tiešās pārvaldes iestāde, un anotācijas 3.sadaļā norādīto, lūdzam precizēt noteikumu projekta 12. punkta redakciju, norādot konkrēti, ka nacionālais finansējums ir valsts budžeta finansējums, vienlaikus arī anotācijas 1.3.sadaļā pie pasākumam pieejamā finansējuma aizstāt norādītos vārdus “nacionālais finansējums” ar vārdiem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pašvaldību budžeta finansējums un privātais finansējums pasākuma īstenošanā plānots saistībā ar noteikumu projekta 16.punktā paredzēto par sadarbības partneru piesaisti, tad lūdzam anotācijā skaidrot, vai un kā sadarbības partneri piedalīsies projekta attiecināmo izmaksu līdzfinansēšanā un attiecīgi piedāvāt citus precizējumus noteikumu projekta 12.punktā nekā šobrīd piedāvātā redakcija, kā arī pārskatīt anotācijas 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pieejamais kopējais finansējums ir 39 182 735 euro, tai skaitā Eiropas Reģionālās attīstības fonda finansējums ne vairāk kā 33 305 324 euro un valsts budžeta finansējums ne vairāk kā 5 877 411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kas pēc projekta iesnieguma apstiprināšanas un vienošanās par projekta īstenošanu noslēgšanas ir finansējuma saņēmējs, pasākuma ietvaros ir tiešās pārvaldes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fondu 2021.-2027.gada plānošanas perioda vadības likuma 1.panta 3.punktam finansējuma saņēmējs ir persona, kuras projekta iesniegums ir apstiprināts. Ievērojot minēto, lūdzam aizstāt noteikumu projekta 15.punktā vārdus "un vienošanās par projekta īstenošanu noslēgšanas ir" ar vārdu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kas pēc projekta iesnieguma apstiprināšanas ir finansējuma saņēmējs, pasākuma ietvaros ir tiešās pārvaldes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 (Ance Rudzīte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ir attiecināmas šādas projekta tiešās attiecināmās izmaksas, kas ir tieši saistītas ar projekta īstenošanu un nepieciešamas projekta rezultātu sasniegšanai IKT risinājumu un pakalpojumu kiberdrošības spēju paaugstināšanas nolūkā, un šī saistība ir skaidri saprotama un pierādāma,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21.punktā ietvert atsauci uz konkrētām atbalstāmajām darbībām (MK noteikumu projekta 20.punkts).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personāla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2021/1060) 55. panta 1. punktu plāno kā vienu izmaksu pozīciju, piemērojot vienoto izmaksu likmi 20 procentu apmērā no projekta tiešajām attiecināmajām izmaksām, bet neieskaitot tiešās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anotācijas sadaļā 1.3. Pašreizējā situācija, problēmas un risinājumi” apakšsadaļā “Risinājuma apraksts” ietverto informāciju par vienoto personāla izmaksu likmi atbilstoši ES fondu Vadošās iestādes sniegtajiem komentāriem vienotās personāla izmaksu likmes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netiešās attiecināmās izmaksas ir finansējuma saņēmēja projekta vadības un īstenošanas personāla administratīvās izmaksas, un tās plāno kā vienu izmaksu pozīciju, piemērojot netiešo izmaksu vienoto likmi 15 procentu apmērā no šo noteikumu </w:t>
            </w:r>
            <w:r w:rsidR="00000000" w:rsidRPr="00000000" w:rsidDel="00000000">
              <w:rPr>
                <w:rtl w:val="0"/>
              </w:rPr>
              <w:t xml:space="preserve">21.13. </w:t>
            </w:r>
            <w:r w:rsidR="00000000" w:rsidRPr="00000000" w:rsidDel="00000000">
              <w:rPr>
                <w:rtl w:val="0"/>
              </w:rPr>
              <w:t xml:space="preserve">apakšpunktā</w:t>
            </w:r>
            <w:r w:rsidR="00000000" w:rsidRPr="00000000" w:rsidDel="00000000">
              <w:rPr>
                <w:rtl w:val="0"/>
              </w:rPr>
              <w:t xml:space="preserve"> minētajām tiešajām attiecināmajām projekta personāla izmaksām, un tās aprēķina tikai tām izmaksām, kas radušās uz darba līguma pamata vai ar rīkojumu ieceļot pretendentu valsts civildienesta ierēdņa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MK noteikumu projekta 23.punkta beigu daļu "un tās aprēķina tikai tām izmaksām, kas radušās uz darba līguma pamata vai ar rīkojumu ieceļot pretendentu valsts civildienesta ierēdņa amatā", jo vienotās personāla izmaksu likmes piemērošanas gadījumā šādu ierobežojumu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Pievienotās vērtības nodoklis, kas tiešā veidā saistīts ar projektu, uzskatāms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Regulas 2021/1060 64. panta 1. punkta "c" apakšpunkta "i" punkta izriet, ka darbībām (t.i. projektiem), kuru kopējās izmaksas ir mazākas nekā 5 000 000 euro (ieskaitot pievienotās vērtības nodokli), pievienotās vērtības nodokļa izmaksas ir attiecināmas; savukārt no "ii" punkta izriet, ka darbībām (t.i. projektiem), kuru kopējās izmaksas ir vismaz 5 000 000 euro (ieskaitot pievienotās vērtības nodokli), pievienotās vērtības nodokļa izmaksas ir attiecināmas gadījumos, kad tas nav atgūstams saskaņā ar pievienotās vērtības nodokli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noteikumu projekta 14.punktu, aicinām izvērtēt nepieciešamību precizēt noteikumu projekta 25. punktu, ja varētu tikt īstenoti gan tādi projekti, kuru kopējās izmaksas ir mazākas nekā 5 000 000 euro (ieskaitot pievienotās vērtības nodokli), gan tādi projekti, kuru kopējās izmaksas ir vismaz 5 000 000 euro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Pievienotās vērtības nodoklis, kas tiešā veidā saistīts ar projektu, uzskatāms par attiecināmajām izmaksām saskaņā ar regulas Nr. 2021/1060 64. panta 1. punkta "c" apakšpunktā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projektiem, kuru kopējās izmaksas ir mazākas nekā 5 000 000 euro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projektiem, kuru kopējās izmaksas ir vismaz 5 000 000 euro (ieskaitot pievienotās vērtības nodokli), ja tās nav atgūstamas nodokļu politiku reglamentējošos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 (Ance Rudzīte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ietvaros izmaksas ir attiecināmas no 2025. gada 1. aprīļa.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izmaksas ir attiecināmas no 2025. gada 1. aprīļa un finansējuma saņēmēji ir valsts budžeta iestādes, tad anotācijā jāsniedz pamatojums,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MK sēdes protokollēmuma projektā nepieciešams pievienot punktu, kas nosaka finanšu plūsmas pirms projekta apstiprināšanas nodrošināšanas nosacījumus, kā arī pienākumu un atbildību atbildīgajai iestādei gadījumos, ja pirms projekta apstiprināšanas radušās izmaksas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un sadarbības partneris (ja attiecināms) nodrošina projekta rezultātu ilgtspēju, tai skaitā projekta ietvaros izveidoto un ieviesto informācijas un komunikācijas tehnoloģiju risinājumu darbību vismaz piecus gadus pēc projekta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precizēt 31.punktu, ņemot vērā komunikāciju ar Eiropas Komisiju par Eiropas Savienības fondu 2014.- 2020. gada un 2021.-2027. gada plānošanas perioda Regulas Nr.1303/2013 71.panta un Regulas Nr. 2021/1060 65.panta 1.punkta prasības (par darbību ilglaicīgumu pēc to pabeigšanas) piemērošanu attiecībā uz investīcijām IKT sistēmās, ka tā nav attiecināma uz tādiem ES fondu ieguldījumiem IKT sistēmu izstrādē vai pilnveidē kā aparatūra (serveri, maršrutētāji, komutatori, vadi un speciālie skapji to uzglābšanai vienā vietā un tamlīdzīgi), tehnika (datori) un programmatūras, jo tie nav infrastruktūra minēto regulu izpratnē, tātad nav attiecināma uz investīcijām 2021.-2027. gada plānošanas perioda SAM 1.3.1. “Izmantot digitalizācijas priekšrocības iedzīvotājiem, uzņēmumiem, pētniecības organizācijām un publiskajām iestādēm”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ne vēlāk kā triju mēnešu laikā pēc civiltiesiskā līguma vai vienošanās par projekta īstenošanu noslēgšanas izveido projekta uzraudzības padomi, lai nodrošinātu projekta mērķa sasniegšanu. Projekta uzraudzības padome uzrauga projekta aktivitāšu īstenošanu un projekta rezultātu atbilstību galalietotāju un sadarbības partneru vajadzībām, kā arī apstiprina ārēju faktoru ietekmē radušos izmaiņu nepieciešamību projektā. Projekta uzraudzības padomes sastāvā ir finansējuma saņēmēja atbildīgā amatpersona, projekta īstenošanā iesaistīto iestāžu vadības pārstāvji, nozares ministrijas, kuras padotībā atrodas finansējuma saņēmējs, pārstāvji, projekta sadarbības partneru pārstāvji un valsts informācijas un komunikācijas tehnoloģiju pārvaldības organizācijas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15. punktam finansējuma saņēmējs ir tiešās pārvaldes iestāde, lūdzam precizēt noteikumu projekta 38.punktu svītrojot norādi uz civiltiesisku līgumu par projekta īstenošanu. Skaidrojam, ka Eiropas Savienības fondu 2021.—2027. gada plānošanas perioda vadības likuma 18. panta pirmās daļas 2. punkts paredz finansējuma saņēmēja pienākumu nodrošināt projekta īstenošanu saskaņā ar Eiropas Savienības un Latvijas Republikas normatīvajiem aktiem un vienošanos par projekta īstenošanu, ja finansējuma saņēmējs ir tiešās vai pastarpinātās pārvaldes iestāde, atvasināta publiska persona vai cita valsts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 (Ance Rudzīte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anotācijā vienkāršotā veidā novērtēt atbalsta pasākuma sociālekonomiskos ieguvumus, lai rastos priekšstats par pasākuma atdevi kopumā — proti, ka potenciālie ieguvumi pārsniedz kopējās izmaksas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ieguvumu veidi un kvantifikācijas pieejas, kuras varētu izmantot ekonomiskās atdeves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Novērsto zaudējumu samazinājums — mazāk datu noplūžu, DDoS uzbrukumu, sistēmu paralīzes u.tml. Var balstīties uz CERT.LV datiem par incidentu biežumu un to potenciālo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Publisko e-pakalpojumu pieejamības nepārtrauktība — iespējams izteikt naudā, aprēķinot iedzīvotāju un uzņēmumu ietaupīto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Zaudējumu samazinājums kritiskās infrastruktūras pārvaldībā — iespējams izmantot starptautiskus piemērus vai ekspertu aplēses par riskiem un to iespējamo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no kādiem līdzekļiem tiks nodrošināta pasākuma rezultātu ilgtspēja un IKT infrastruktūras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projekta ietvaros netiek sniegts komercdarbības atbalsts finansējuma saņēmējam un sadarbības partnerim kā saimnieciskās darbības veicējam, lūdzam papildināt anotāciju ar informāciju, vai arī sadarbības partneriem sniegtais atbalsts nav kvalificējams kā atbalsts saimnieciskai darbībai un kā komercdarbības atbalsts. Skaidrojam, ka, ja atbalsts plānots, piemēram, valsts deleģētas funkcijas veikšanai, tas atbilstoši Valsts atbalsta jēdziena dokumenta 17.punktam nav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anotāciju papildināt ar informāciju, vai pasākumā tiks atbalstīti tikai tādi projekta ietvaros radītie vai uzlabotie informācijas un komunikācijas tehnoloģijas risinājumi, kas nepieciešami konkrētu valsts deleģētu funkciju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vienotas izpratnes nodrošināšanai, papildināt noteikumu projekta anotācijas 1.3. sadaļas apakšsadaļu "Cita informācija" ar detalizētāku informāciju par noteikumu projekta 41.punktā noteiktā projekta vērtēšanas procesu, tas ir vai konkrētajam projektam būs izstrādāts atlases nolikums, vai sadarbības iestāde piedalīsies pie projekta vērtēšanas, vai maksājumu pieprasījumu apstiprināšana un izskatīšana noritēs atbilstoši Eiropas Savienības fondu regulējošiem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 (Ance Rudzīte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6.punktā norādīto finansējumu sadalījumu pa gadiem ar informāciju par 2027.gadu.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norādīt konkrētus anotācijā minēto plānošanas dokumentu (Digitālās transformācijas pamatnostādnes 2021.–2027.gadam un Latvijas Nacionālais attīstības plāns 2021.-2027. gadam) mērķus un rādītājus, kuru sasniegšanu veicinās 1.3.1.3.pasākums, ja iespējams, norādot arī skaitliskās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iekļaut arī informāciju par pasākuma ietekmi uz principu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nav saņemts Eiropas Komisijas apstiprinājums Eiropas Savienības kohēzijas politikas programmas 2021.-2027.gadam (turpmāk - Programma) grozījumiem Nr.3, tad nepieciešams papildināt protokollēmumu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Programmā rosinātās finansējuma pārdales, atļaut Viedās administrācijas un reģionālās attīstības ministrijai pirms Eiropas Komisijas lēmuma par vidusposma pārskatu sagatavot un iesniegt izskatīšanai Ministru kabinetā 1.3.1.specifiskā atbalsta mērķa “Izmantot digitalizācijas priekšrocības iedzīvotājiem, uzņēmumiem, pētniecības organizācijām un publiskajām iestādēm” 1.3.1.3.pasākuma “IKT risinājumu un pakalpojumu kiberdrošības paaugstināšana” (turpmāk – 1.3.1.3.pasākums) noteikumu projektu, paredzot tam ERAF elastības finansējumu no 1.3.1.1.pasākuma “IKT risinājumu un pakalpojumu attīstība un iespēju radīšana privātajam sektoram” 13 939 337 euro, 1.2.1.specifiskā atbalsta mērķa ““Pētniecības un inovāciju kapacitātes stiprināšana un progresīvu tehnoloģiju ieviešana uzņēmumiem” 1.2.1.1. pasākuma "Atbalsts jaunu produktu attīstībai un internacionalizācijai" 2.kārtas 1 556 666 euro, un 3.kārtas 2 240 812 euro, 1.2.1.3.pasākuma "Uzņēmuma atbalsts dalībai kapitāla tirgos" 264 633 euro, 1.2.1.4.pasākuma "Atbalsts tehnoloģiju pārneses sistēmas pilnveidošanai" 1 055 508 euro, 1.2.2. specifiskā atbalsta mērķa “Izmantot digitalizācijas priekšrocības uzņēmējdarbības attīstībai” 1.2.2.1.pasākuma "Atbalsts procesu digitalizācijai komercdarbībā" 3 702 009 euro, 1.2.3.specifiskā atbalsta mērķa "Veicināt ilgtspējīgu izaugsmi, konkurētspēju un darba vietu radīšanu MVU, tostarp ar produktīvām investīcijām” 1.2.3.6.pasākuma "Tūrisma produktu attīstības programma" 1.kārtas 79 390 euro un 2.kārtas 783 976 euro, 1.1.2.specifiskā atbalsta mērķa 1.1.2.1.pasākuma "RIS3 industriālās prasmes" 9 682 993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Centrālajai finanšu un līgumu aģentūrai kā Eiropas Savienības fondu sadarbības iestādei (turpmāk – CFLA) veikt 1.3.1.3.pasākuma projektu iesniegumu atlases ietvaros iesniegto projektu iesniegumu vērtēšanu un, pēc projektu iesniegumu apstiprināšanas, slēgt ar finansējuma saņēmējiem vienošanās par projektu īstenošanu atbilstoši Programmā noteiktajam finansējuma sadalījumam, tai skaitā elastības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netiek saņemts pozitīvs Eiropas Komisijas lēmums par grozījumiem Programmā, kas skar 1.3.1.3.pasākuma elastības finansējuma izmantošanu, Viedās administrācijas un reģionālās attīstības ministrijai sagatavot un iesniegt izskatīšanai Ministru kabinetā informatīvo ziņojumu par priekšlikumiem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(Jevgēnijs Burovs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28.03.2025.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28.03.2025.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