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Transporta enerģijas kvalitātes prasības un atbilstības kvalitātes prasībām nodrošināšana, transporta enerģijas tirgus uzraudzība un transporta enerģijas pienākumu izpildes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7. pantu, 20. panta astoto daļu, Pārejas noteikumu 16. punktu un </w:t>
            </w:r>
            <w:r w:rsidR="00000000" w:rsidRPr="00000000" w:rsidDel="00000000">
              <w:rPr>
                <w:rtl w:val="0"/>
              </w:rPr>
              <w:t xml:space="preserve">likuma "Par atbilstības novērtēšanu" 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projekta izdošanas tiesiskā pamata Transporta enerģijas likuma pārejas noteikumu 16. punktu, jo minētajā vienībā nav iekļauts projekta izdošanas tiesiskais pamats. Ministru kabineta noteikumu izdošanas tiesisko pamatu veido atbilstoši Ministru kabineta 2009. gada 3. februāra noteikumu Nr. 108 "Normatīvo aktu projektu sagatavošanas noteikumi" (turpmāk - noteikumi Nr. 108) regulējumam, proti, minēto noteikumu 97. punkts paredz, ka aiz noteikumu projekta nosaukuma raksta norādi, uz kāda likuma pamata noteikumu projekts sagatavots. Savukārt minēto noteikumu 47. punktā noteikts, ka pilnvarojumu izdot ārēju vai iekšēju normatīvo aktu veido, izmantojot vienu no šādiem paņēmieniem: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frāze “Ministru kabinets nosaka” un normatīvā akta satura galveno virzienu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normatīvā akta satura galveno virzienu apraksts un frāze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frāze “Ministru kabinets izdod noteikumus, kuros” un normatīvā akta satura galveno virzienu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7. pantu, 20. panta astoto daļu, Pārejas noteikumu 16. punktu un </w:t>
            </w:r>
            <w:r w:rsidR="00000000" w:rsidRPr="00000000" w:rsidDel="00000000">
              <w:rPr>
                <w:rtl w:val="0"/>
              </w:rPr>
              <w:t xml:space="preserve">likuma "Par atbilstības novērtēšanu" 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1.6. apakšpunkta un citām vienībām izriet, ka ar projektu netiek pilnībā izpildīts Transporta enerģijas likuma 20. panta astotā daļā ietvertais pilnvarojums (projekta 6. nodaļā ietverta vienīgi transporta enerģijas kvalitātes pārskata sagatavošanas un iesniegšanas kārtību, ierobežotā apmērā arī nosacījumi, kas pamatā pārklājas ar likumā noteikto), tādēļ lūdzam sniegt pamatotu skaidrojumu, kā pilnvarojumu paredzēts izpildīt pilnībā,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ka atbilstoši noteikumu Nr. 108 100.2. apakšpunktam projekta 1. punktā raksta (pārraksta) likumā noteikto pilnvarojumu Ministru kabinetam, lūdzam svītrot projekta 1.5. apakšpunktu vai papildināt norādi par projekta izdošanas tiesisko pamatu ar atsauci uz Transporta enerģijas likuma 15. panta pirmās daļas 9. punktu, attiecīgā gadījumā precizējot pilnvarojuma redakciju atbilstoši likumā noteiktajam ("Ministru kabinets nosaka siltumnīcefekta gāzu emisiju intensitātes un transporta enerģijas modernizēšanas pienākuma izpildes uzraudzības noteikumus"), kā arī ietverot projektā arī atbilstošu regulējumu vai skaidrojot anotācijā, kā tieši tiek izpildīts konkrētais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transporta enerģijas aprite - jebkādas darbības ar transporta enerģiju, tai skaitā (bet ne tikai) izejvielu ieguve, audzēšana, ražošana un pārstrāde, kā arī transporta enerģijas ieguve, ražošana, marķēšana, uzglabāšana, pārvadāšana, ievešana, izvešana, izplatīšana, apstrāde, sadedzināšana, realizācija, iznīcināšana;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2.8. apakšpunktu, atbilstoši juridiskās tehnikas prasībām neskaidrojot terminu, kas lietots Transporta enerģijas likumā. Vēršam uzmanību, ka, skaidrojot minēto terminu, faktiski tiek interpretēts minētā likuma regulējums, tostarp likuma mērķis, darbības joma u.c., kas nav pieļaujami, neesot attiecīgam pilnvarojumam. Turklāt no minētā likuma, piemēram, 7. panta 1. punkta jau netieši izriet, kādu rīcību aptver attiecīgā aprite, tādēļ pirmšķietami likumdevējs pats izšķīries noregulēt konkrēto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iekļautie nosacījumi attiecas uz transporta enerģijas apriti. Noteikumos iekļautie nosacījumi neattiecas uz elektroenerģiju, kas ir uzlādēta transportlīdzekļos un tiek izmantota kā transporta 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 punktu. Vēršam uzmanību, ka minētais skaidrojums pirmšķietami ir lieks, jo attiecīgais regulējums faktiski izriet no Transporta enerģijas likuma 3. un 4. panta.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attiecas uz Latvijas tirgū piedāvātajiem transporta enerģijas veidiem, ko izmanto transportlīdzekļos satiksmē un Eiropas Parlamenta un Padomes 2016.gada 14.septembra regulas (ES) 2016/1628 par prasībām attiecībā uz autoceļiem neparedzētas mobilās tehnikas iekšdedzes motoru gāzveida un daļiņveida piesārņotāju emisiju robežvērtībām un tipa apstiprināšanu, ar ko groza Regulas (ES) Nr. 1024/2012 un (ES) Nr. 167/2013 un groza un atceļ Direktīvu 97/68/EK 3.panta 1.punktā definētajā autoceļiem neparedzētajā mobilajā tehnikā dzirksteļaizdedzes dzinēju un kompresijaizdedzes dzinēju darbināšanai, izņemot stacionārās sadedzināšanas iekārtas, ņemot vērā šo dzinēju tehniskās prasības saistībā ar veselības aizsardzību un vides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4. punktā svītrot norādi "ņemot vērā šo dzinēju tehniskās prasības saistībā ar veselības aizsardzību un vides aizsardzību", jo tā ir deklaratīva, un attiecīgā informācija būtu atspoguļojama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Transporta enerģijas atbilstība kvalitātes prasībām un rādītājiem ir jānosaka un jāpārbauda, lai nodrošinātu apliecinošu dokumentu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norādi: "lai nodrošinātu apliecinošu dokumentu izsniegšanu", jo pirmšķietami tā ir deklaratīva. Ierosinām, ja tas nepieciešams (piemēram, neizriet no likuma), paredzēt konkrētus dokumentu izsniegšanas nosacījumus atsevišķā projekta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tiesiskās noteiktības nolūkā lūdzam projekta anotācijā skaidrot, kas ir domāts ar apliecinošajiem dokumentiem projekta 28. punkta izpratnē vai precizēt atsauci uz minētajiem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izpildi atbilstoši kompetencei uzrauga Dienests, kas veic normatīvajos aktos par atbilstības novērtēšanu noteiktās tirgus uzraudzības iestādes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projekta 34. un 35. punktu, nedublējot Transporta enerģijas likuma 6. un 21. pantā noteikto.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Transporta enerģijas likuma pārejas noteikumu 16. punktā noteiktās atkāpes piemērošanas uzraudzības ietvaros tiek secināts, ka kalendārajā gadā realizētais biodegvielu vai biomasas degvielu apjoms ir mazāks nekā Transporta enerģijas likuma pārejas noteikumu 11. punkta 2. apakšpunktā noteiktais apjoms, tas tiek uzskatīts par transporta enerģijas kvalitātes prasību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piemēram, paredzot konkrētu kvalitātes prasību, kas korespondē 67. punktā minētajam nosacījumam, vai svītrot projekta 67. punktu. Norādām, ka projektā tostarp pieļaujams noteikt kvalitātes prasības un rādītājus, bet ne skaidrot pārkāpumus (neatbilstības), kas regulēti Transporta enerģijas likuma 6. panta trešajā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Transporta enerģijas likuma pārejas noteikumu 16. punktā noteiktās atkāpes piemērošanas uzraudzības ietvaros tiek secināts, ka kalendārajā gadā realizētais biodegvielu vai biomasas degvielu apjoms ir mazāks nekā Transporta enerģijas likuma pārejas noteikumu 11. punkta 2. apakšpunktā noteiktais apjoms, tas tiek uzskatīts par transporta enerģijas kvalitātes prasību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attiecīgo pārejas noteikumu 11. punktā nav 2. apakšpunkta, tādēļ lūdzam atbilstoši precizēt atsauci, nodrošinot juridiskās tehnikas prasībām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5.4. apakšsadaļu ar informāciju par Eiropas Parlamenta un Padomes 2023. gada 13. septembra regulas (ES) 2023/1804 par alternatīvo degvielu infrastruktūras ieviešanu un ar ko atceļ Direktīvu 2014/94/ES, II pielikuma 3.2. apakšpunkta ieviešanu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arī Eiropas Parlamenta un Padomes 1998. gada 13. oktobra Direktīvas 98/70/EK kas attiecas uz benzīna un dīzeļdegvielu kvalitāti un ar ko groza Padomes Direktīvu 93/12/EEK, I pielikuma 1. un 3. piezīmē, II pielikuma 1. piezīmē paredzētās rīcības brīvības izmantošanu vai neizmantošanu.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precizēt minētajā tabulā ietverto informāciju, jo norādītās direktīvas 4. panta 2. punkts pirmšķietami nevarētu būt pārņemts projekta 10. punktā, kas attiecas uz benzīnu. Papildus aicinām skaidrot, kā pārņemts minētā direktīvas punkta otrais teikums, kas paredz nosacījumu attiecībā uz šķidro degvielu izmantošanu, kas nav gāzeļļas, iekšējo ūdensceļu kuģos un atpūtas kuģos.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kvalitātes prasības un atbilstības kvalitātes prasībām nodrošināšana, transporta enerģijas tirgus uzraudzība un transporta enerģijas pienākumu izpildes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aicinām projekta nosaukumu veidot iespējami īsu un atbilstošu likumā noteiktajam pilnvarojumam Ministru kabinetam un noteikumu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"Transporta enerģijas tirgus uzraudzības un modernizēšanas pienākuma izpildes noteikumi" (ja šajā jomā vairs netiek plānoti citi Ministru kabineta noteikumi) v.tml.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7. pantu, 20. panta astoto daļu, Pārejas noteikumu 16. punktu un </w:t>
            </w:r>
            <w:r w:rsidR="00000000" w:rsidRPr="00000000" w:rsidDel="00000000">
              <w:rPr>
                <w:rtl w:val="0"/>
              </w:rPr>
              <w:t xml:space="preserve">likuma "Par atbilstības novērtēšanu" 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norādē par projekta izdošanas tiesisko pamatu atsaukties uz visu likuma "Par atbilstības novērtēšanu" 7. pantā ietverto pilnvarojumu (arī projekta 1. punktā nav atrodams 7. panta pilnīgs atspoguļojums) , ievērojot, ka minētais pilnvarojums, iespējams (vismaz daļēji), pārklājas ar Transporta enerģijas likumā ietverto pilnvarojumu. Skaidrojam, ja likumos ir gan vispārīgs, gan speciāls pilnvarojums Ministru kabinetam, noteikumos ietver norādi uz speciālo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Transporta enerģijas atbilstības sertifikātu izdod, interpretējot tos atbilstoši šo noteikumu </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 attiecīgo kvalitātes standartu prasībām un atbilstoši šādiem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projekta 24. punktu. Norādām, ka no projekta un tā anotācijas neizriet, kā izpaužas sertifikātu izdošana, </w:t>
            </w:r>
            <w:r w:rsidR="00000000" w:rsidRPr="00000000" w:rsidDel="00000000">
              <w:rPr>
                <w:u w:val="single"/>
                <w:rtl w:val="0"/>
              </w:rPr>
              <w:t xml:space="preserve">tos interpretējot</w:t>
            </w:r>
            <w:r w:rsidR="00000000" w:rsidRPr="00000000" w:rsidDel="00000000">
              <w:rPr>
                <w:rtl w:val="0"/>
              </w:rPr>
              <w:t xml:space="preserve">, proti, neizriet, vai norma paredz sertifikātu interpretēšanas kārtību, ko pirmšķietami nav nepieciešams regulēt, vai tiek noteikts pienākums ievērot attiecīgās prasības un standartus, sertifikātus izdodot.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Dienests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noteikto pienākumu izpildi īsteno, izmantojot energoresursu informācijas sistēmu, ko izveido un uztur Būvniecības valsts kontroles birojs, un ņemot vērā Valsts ieņēmuma dienestam iesniegto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norāde "ņemot vērā Valsts ieņēmuma dienestam iesniegto informāciju" pirmšķietami ir pārāk vispārīga un nenoteikta, tādēļ lūdzam projekta 36. punktā paredzēt konkrētu minētā dienesta pienākumu sniegt informāciju konkrētu mērķu sasniegšanai. Aicinām arī izvērtēt vai 36. punkts nav redakcionāli precizējams, jo pirmšķietami loģiski ir savu pienākumu izpildi īstenot, ņemot vērā iegūtu vai savā rīcībā esošo informāciju, nevis citai institūcijai iesniegtu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Dienests, ņemot vērā transporta enerģijas atbilstības apliecinājumu, transporta enerģijas atbilstības sertifikātu, šo noteikumu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minēto informāciju, energoresursu informācijas sistēmā pieejamos datus un Valsts ieņēmumu dienestam pieejamo informāciju, izstrādā paraugu ņemšanas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projekta 43. punktā ietverto norādi: "Valsts ieņēmumu dienestam pieejamo informāciju", jo Valsts vides dienesta rīcībā nav visa Valsts ieņēmumu dienesta rīcībā esošā (pieejamā)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Dienests, ņemot vērā transporta enerģijas tirgus uzraudzības ietvaros iegūtos datus un no Valsts ieņēmumu dienesta saņemto informāciju par normatīvajos aktos par atbilstības novērtēšanu ietvaros veiktajām darbībām, sagatavo normatīvajos aktos par transporta enerģiju minēto degvielas kvalitātes pārskatu atbilstoši veidlapai, kas publicēta Eiropas Vides aģentūras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norādi: "transporta enerģijas tirgus uzraudzības ietvaros iegūtos datus un no Valsts ieņēmumu dienesta saņemtos datus", iespēju robežās nedublējot Transporta enerģijas likuma 20. panta septītās daļas ievaddaļā ietverto regulējumu. Papildus lūdzam izvērtēt un precizēt atsauci uz normatīvajos aktos par transporta enerģiju minēto degvielas kvalitātes pārskatu, ņemot vērā, ka pirmšķietami ar minētajiem normatīvajiem aktiem domāts Transporta enerģijas likuma 20. panta septītās daļas 1. punktā minētais pārskats, tādēļ lūdzam precīzi atsaukties uz minēto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precizēt projekta 73. punktu, svītrojot pienākumu dienestam izmantot tīmekļvietnē publicētu veidlapu. Norādām, ka tīmekļvietnē publicētas veidlapas nav juridiski saistošas un atbilstoši noteikumu Nr. 108 131. punktam projektā neizdara atsauces uz juridiski nesaistošiem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noslēguma jautājumu secību, ņemot vērā Valsts iestāžu juridisko dienestu vadītāju 2020. gada 1. oktobrī sanāksmes protokola Nr. 1 1. § 2.17. punktā nolemto, proti, noteikumu noslēguma jautājumos parasti raksta secīgi: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Norādi, kuri Ministru kabineta noteikumi tiek atzīti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Atsevišķu punktu spēkā stāšanās laiku, ja tas atšķiras no visu noteikumu spēkā stāšanās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vai to atsevišķu punktu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Norādi uz institūciju, kas līdz noteikumu izpildei paredzētās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izveidošanai nodrošinās noteikumos noteikto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spēkā stāšanās dienu, ja tā atšķiras no vispārējās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Laiku, līdz kuram noteikumi vai atsevišķas tā normas ir spēkā, ja noteikumi vai atsevišķas normas ir pieņemtas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Akreditācija, kas ir iegūta, pamatojoties uz Ministru kabineta 2000.gada 26.septembra noteikumiem Nr.332 “Noteikumi par benzīna un dīzeļdegvielas atbilstības novērtēšanu” un Ministru kabineta 2005.gada 18.oktobra noteikumiem Nr.772 “Noteikumi par biodegvielas kvalitātes prasībām, atbilstības novērtēšanu, tirgus uzraudzību un patērētāju informēšanas kārtību” ir spēkā līdz brīdim, kad ir iegūta akreditācija, pamatojoties uz šiem Ministru kabineta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projekta 78.punktu, jo, pamatojoties uz punktā minētajiem noteikumiem, netiek veikta akreditācija.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projekta 78.punktu projekta autori vēlējušies noteikt pārejas regulējumu, kas paredz, ka pēc šo noteikumu spēkā stāšanās attiecīgā kārtībā akreditēta laboratorija (sertifikācijas institūcija) turpina savu darbību līdz tai izsniegtā akreditācijas dokumenta derīguma termiņa beigām, vai līdz brīdim, kad akreditētā laboratorija iegūst akreditāciju, kas veikta atbilstoši jaunajam tiesiskajam regulējumam, tad lūdzam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korespondējošajai direktīvas vienībai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 pielikumā pēc vārdiem: "Citi skābekli saturoši savienojumi (citi vienvērtīgie spirti un ēteri)" papildināt ar direktīvas norādei: "kuru viršanas beigu punkts nepārsniedz standartā EN 228:2012+A1:2017 noteikto" korespondējošu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pamatojumu normai, kas paredz, ka "Skābekļa saturs benzīnam, kurā biodegvielas saturs ir līdz 5 tilpumprocentiemmasas procenti 2,7", ievērojot, ka no anotācijas 5.4. apakšsadaļā ietvertajām direktīvas vienībām neviena neparedz atbilstošu nosacījumu, tādēļ lūdzam papildināt minēto apakšsadaļu vai skaidrot pamatojumu konkrētajam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23-TA-3014</w:t>
    </w:r>
    <w:r>
      <w:br/>
    </w:r>
    <w:r w:rsidR="00000000" w:rsidRPr="00000000" w:rsidDel="00000000">
      <w:rPr>
        <w:rtl w:val="0"/>
      </w:rPr>
      <w:t xml:space="preserve">Izdrukāts 25.02.2026. 09.00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23-TA-3014</w:t>
    </w:r>
    <w:r>
      <w:br/>
    </w:r>
    <w:r w:rsidR="00000000" w:rsidRPr="00000000" w:rsidDel="00000000">
      <w:rPr>
        <w:rtl w:val="0"/>
      </w:rPr>
      <w:t xml:space="preserve">Izdrukāts 25.02.2026. 09.00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Atzinumi_23-TA-3014.docx</dc:title>
</cp:coreProperties>
</file>

<file path=docProps/custom.xml><?xml version="1.0" encoding="utf-8"?>
<Properties xmlns="http://schemas.openxmlformats.org/officeDocument/2006/custom-properties" xmlns:vt="http://schemas.openxmlformats.org/officeDocument/2006/docPropsVTypes"/>
</file>