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 panta pirmās daļas 2. punkta izriet, ka likumprojekts attiecas uz valsts un pašvaldību iestādēm. Vienlaikus likumprojekta 3. panta pirmās daļas 1. punktā minēts, ka likumprojekts attiecas uz būtisko pakalpojumu sniedzējiem un svarīgo pakalpojumu sniedzējiem. Savukārt no likumprojekta 16. panta 5. un 6. punkta un 17. panta pirmās daļas 3. un 4. punkta skaidri izriet, ka būtisko un svarīgo pakalpojumu sniedzējs var būt arī valsts un pašvaldību iestāde. Tādējādi secināms, ka likumprojektā lietotais saīsinājums "subjekts" attiecināms arī uz valsts un pašvaldību iestādēm. Ņemot vērā minēto, likumprojektā paredzētais administratīvais process tiktu attiecināts arī uz valsts un pašvaldību iestādēm, proti, valsts un pašvaldību iestādes būtu administratīvā akta adresāti un pret tiem varētu tikt vērsta administratīvā akta piespiedu izpilde (sk., piemēram, 23. panta trešo daļu, 33. un 42. pantu). Saskaņā ar Administratīvā procesa likuma 27. panta pirmajā daļā noteikto adresāts ir privātpersona, attiecībā uz kuru izdots administratīvais akts. Savukārt Administratīvā procesa likuma 27. panta otrā daļa paredz izņēmuma gadījumu, kad administratīvā akta adresāts varētu būt publisko tiesību subjekts. Vēršam uzmanību, ka valsts pārvaldē prezumējams, ka iestādes ievēro tām normatīvajos aktos noteiktos pienākumus, un viena iestāde citai iestādei ar administratīvo aktu izpildīt kādas darbības neuzdod. Tādējādi secināms, ka šajā gadījumā nebūtu konstatējams, ka valsts un pašvaldību iestādes varētu būt administratīvā akta adresāti.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projektā ietverto regulējumu, neattiecinot uz valsts un pašvaldību iestādēm regulējumu, kas saistīts ar administratīvo procesu, jo valsts un pašvaldību iestādes tikai īpašos izņēmuma gadījumos varētu būt administratīvā akta adresāti, bet šāds īpašs gadījums nav konstatējams.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kiberapdraudējums</w:t>
            </w:r>
            <w:r w:rsidR="00000000" w:rsidRPr="00000000" w:rsidDel="00000000">
              <w:rPr>
                <w:rtl w:val="0"/>
              </w:rPr>
              <w:t xml:space="preserve"> — jebkādi iespējami apstākļi, notikums, darbība vai to iespējamība, kas var ietekmēt vispārēju sabiedrības procesu nodrošināšanu vai pakalpojumu konfidencialitāti, integritāti un pieejamību, ko sniedz informācijas un komunikācijas tehnoloģijas, bet nozīmīgs kiberapdraudējums var apdraudēt valsts un sabiedrības funkcionēšanai kritisku procesu vai pakalpojumu konfidencialitāti, integritāti un pieejamību vai radīt materiālu vai nemateriālu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materiālu vai nemateriālu kaitējumu varētu radīt arī kiberapdraudējums, kurš nav nozīmīgs. Attiecīgi lūdzam izvērtēt un precizēt termina "kiberapdraudējums" skaidrojumu, norādot, kam un kādu materiālu vai nemateriālu kaitējumu varētu būt spējīgs radīt nozīmīgs kiberapdraudējums, kā arī vai šo draudu noteikšanā jāņem vērā tehniskās pamatīpašības, ievērojot Eiropas Parlamenta un Padomes 2022. gada 14. decembra direktīvas (ES) 2022/2555, ar ko paredz pasākumus nolūkā panākt vienādi augstu kiberdrošības līmeni visā Savienībā un ar ko groza Regulu (ES) Nr. 910/2014 un Direktīvu (ES) 2018/1972 un atceļ Direktīvu (ES) 2016/1148 (turpmāk - direktīva Nr. 2022/2555), 6. panta 11.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kiberdrošība</w:t>
            </w:r>
            <w:r w:rsidR="00000000" w:rsidRPr="00000000" w:rsidDel="00000000">
              <w:rPr>
                <w:rtl w:val="0"/>
              </w:rPr>
              <w:t xml:space="preserve"> — drošības pasākumu un darbību kopums informācijas un komunikācijas tehnoloģiju konfidencialitātes, integritātes un pieejamības nodrošināšanai, kiberapdraudējuma mazināšanai un aizsardzībai pret kiberuzbrukumiem.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termina "kiberdrošība" skaidrojumā atsaukties uz Eiropas Parlamenta un Padomes 2019. gada 17. aprīļa Regulu (ES) 2019/881 par ENISA (Eiropas Savienības Kiberdrošības aģentūra) un par informācijas un komunikācijas tehnoloģiju kiberdrošības sertifikāciju, un ar ko atceļ Regulu (ES) Nr. 526/2013 (Kiberdrošības akts) 2. panta 1. punktu, atbilstoši direktīvas Nr. 2022/2555 6. panta 3. punktā noteiktajam. Tāpat līdzīgi lūdzam termina "kiberapdraudējums" skaidrojumā atsaukties uz minētās regulas 2. panta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kiberdrošības incidents</w:t>
            </w:r>
            <w:r w:rsidR="00000000" w:rsidRPr="00000000" w:rsidDel="00000000">
              <w:rPr>
                <w:rtl w:val="0"/>
              </w:rPr>
              <w:t xml:space="preserve"> (turpmāk – kiberincidents) — notikums vai nodarījums, kura rezultātā tiek apdraudēta ar informācijas un komunikācijas tehnoloģijām elektroniski apstrādājamo datu vai nodrošināto pakalpojumu konfidencialitāte, integritāte vai pieejamība;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vai likumprojektā termina "kiberdrošības incidents" skaidrojumā atbilstoši direktīvas Nr. 2022/2555 6. panta 6. punktam nebūtu jāparedz, ka ne vien rezultātā tiek apdraudēta konfidencialitāte, integritāte pieejamība vai autentiskums (uz ko likumprojektā nav norādīts), bet arī pats notikums apdraud minētos elementus, kā arī norādīt ne vien uz apstrādājamiem datiem un pakalpojumiem, bet arī glabātiem vai pārsūtītiem datiem.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izvērtēt un likumprojekta anotācijā skaidrot arī citu likumprojekta termina skaidrojumu atbilstību minētajā direktīvā lietotajiem terminiem, piemēram, termina "kiberincidenta apstrāde" skaidrojumā incidenta risināšana varētu ietvert sevī arī darbības un procedūras, kuru mērķis ir reaģēt uz incidentu un atgūties no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liels komersants</w:t>
            </w:r>
            <w:r w:rsidR="00000000" w:rsidRPr="00000000" w:rsidDel="00000000">
              <w:rPr>
                <w:rtl w:val="0"/>
              </w:rPr>
              <w:t xml:space="preserve"> — komersants, kurš veic saimniecisko darbību Latvijas Republikā, un kurš atbilst vismaz vienai no šādām pazīmēm: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2003. gada 6. maija Ieteikuma 2003/361/EK par mikrouzņēmumu, mazo un vidējo uzņēmumu definīciju (OV L 124, 20.5.2003., 36. lpp.) 1. pants paredz, ka par komersantu ir uzskatāma ikviena vienība, kas iesaistās ekonomiskā aktivitātē neatkarīgi no tās juridiskās formas. Tai skaitā tas iekļauj sevī pašnodarbinātas personas un ģimenes uzņēmumus, kas nodarbojas ar amatu vai citām aktivitātēm, partnerības vai apvienības, kas regulāri iesaistās ekonomiskā aktivitātē. Attiecīgi lūdzam izvērtēt un nepieciešamības gadījumā terminu mazs, vidējs un liels komersants skaidrojumos norādīt uz saimnieciskās darbības veicēju, kas ir plašāks jēdziens, nevis komersantu. Papildus lūdzam izvērtēt, vai atbilstoši likumprojekta 16. un 17. pantam vienīgi juridiskās personas varētu būt attiecīgie komersanti (t.i., būtiskās un svarīgās vienības). Nepieciešamības gadījumā lūdzam precizēt likumprojekta 18. pantu (u.c. vienības, ja attiecināms), norādot ne vien uz juridiskām personām, bet arī fiziskām personām un personu apvienībām.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kiberincidents būtiski ietekmē Eiropas Savienības iekšējo tirgu vai rada nozīmīgus finansiālus zaudējumus pakalpojumu sniedzējam vai trešajai pusei.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5. sadaļā skaidrot pamatojumu termina "pārrobežu kiberdrošības incidents" skaidrojumā atsaukties uz pazīmi "kiberincidents būtiski ietekmē Eiropas Savienības iekšējo tirgu vai rada nozīmīgus finansiālus zaudējumus pakalpojumu sniedzējam vai trešajai pusei", kas neatbilst direktīvas Nr. 2022/2555 6. panta 7. 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mazs komersants</w:t>
            </w:r>
            <w:r w:rsidR="00000000" w:rsidRPr="00000000" w:rsidDel="00000000">
              <w:rPr>
                <w:rtl w:val="0"/>
              </w:rPr>
              <w:t xml:space="preserve"> — komersants, kurš veic saimniecisko darbību Latvijas Republikā, un kurš atbilst visām šādām pazīmēm: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panta 12., 15. un 21. punktā un cituviet likumprojektā simbolu "/" aizstāt ar saikli "un" vai saikli "vai", jo no attiecīgās normas nav skaidrs, vai ar simbolu "/" tiek saprasts saiklis "un" vai saiklis "vai". Pamatojoties uz juridiskās tehnikas prasībām, tiesību normai ir jābūt skaidrai,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uzturēt valsts iestāžu apkopoto un pašidentificēto būtisko un svarīgo pakalpojumu sniedzēju sarakstu, nodrošināt tā apstiprināšanu Digitālās drošības uzraudzības komitejā, kā arī iesniegt apkopotu un pēc nepieciešamības anonimizētu informāciju kompetentajām Eiropas Savienības institūcijām par identificētajiem būtisko un svarīgo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direktīvas Nr. 2022/2555 3. panta 3. punktam sarakstā jābūt ietvertām arī vienībām, kuras sniedz domēnu nosaukumu reģistrācijas pakalpojumus. Attiecīgi lūdzam izvērtēt un nepieciešamības gadījumā papildināt likumprojektu vai skaidrot, kādēļ tas nav nepieciešams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izvērtēt informācijas sistēmu attīstības projektus atbilstoši noteikumiem par valsts vai institūcijas informācijas sistēmu un to darbībai nepieciešamo informācijas un komunikācijas tehnoloģiju resursu un pakalpojumu attīstības aktivitāšu un likvidēšanas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5. panta pirmās daļas 7. punktā un 7. panta 4. punktā nodrošināt atsauces vienīgi uz normatīvajiem aktiem noteiktā jomā, kuri jau ir stājušies spēkā vai kuri stāsies spēkā vienlaikus ar likumprojektu, sniedzot atbilstošu skaidrojumu par minētajās vienībās ietvertajiem normatīvajiem aktiem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pirmās daļas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22</w:t>
            </w:r>
            <w:r w:rsidR="00000000" w:rsidRPr="00000000" w:rsidDel="00000000">
              <w:rPr>
                <w:rtl w:val="0"/>
              </w:rPr>
              <w:t xml:space="preserve">.</w:t>
            </w:r>
            <w:r w:rsidR="00000000" w:rsidRPr="00000000" w:rsidDel="00000000">
              <w:rPr>
                <w:rtl w:val="0"/>
              </w:rPr>
              <w:t xml:space="preserve"> punktā minēto Nacionālā kiberdrošības centra uzdevumu izpildi Aizsardzības ministrija deleģē Latvijas Universitātes Matemātikas un informātikas institūta struktūrvienībai (turpmāk – CERT.LV), noslēdzot deleģēšanas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trešā daļa paredz, ka noteiktu uzdevumu izpildi Aizsardzības ministrija deleģē Latvijas Universitātes Matemātikas un informātikas institūta struktūrvienībai. Saistībā ar minēto vēršam uzmanību, ka normatīvajos aktos nav nepieciešams norādīt uz to, ka kādu uzdevumu īstenos institūcijas struktūrvienība, jo tas ir pašas institūcijas uzdevums. Savukārt organizatoriskos jautājumus, kura institūcijas struktūrvienība kādus uzdevumus veic, normatīvajos aktos neraksta. Ņemot vērā minēto, lūdzam precizēt likumprojekta 5. panta trešo daļu, paredzot, ka attiecīgos uzdevumus veic Latvijas Universitātes Matemātikas un informātikas institūts.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sadarboties ar informācijas un komunikācijas tehnoloģiju kritiskās infrastruktūras īpašniekiem un tiesiskajiem valdītājiem to informācijas sistēmu drošības līmeņa noteikšanai atbilstoši Ministru kabineta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vai uz likumprojekta 7. panta 2. punkta pamata paredzēts izdot atsevišķus Ministru kabineta noteikumus. Attiecīgā gadījumā lūdzam precizēt minēto punktu, ievērojot Ministru kabineta 2009. gada 3. februāra noteikumu Nr. 108 "Normatīvo aktu projektu sagatavošanas noteikumi" 47. 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Militārās izlūkošanas un drošības dienesta struktūrvienība (turpmāk – MilCERT.LV) attiecībā uz Aizsardzības ministriju, tās padotībā esošajām iestādēm un Nacionālajiem bruņotajiem spēkiem;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otrās daļas 1. punkts paredz, ka kiberincidentu novēršanas institūciju uzdevumus veic Militārās izlūkošanas un drošības dienesta struktūrvienība. Saistībā ar minēto vēršam uzmanību , ka normatīvajos aktos nav nepieciešams norādīt uz to, ka kādu uzdevumu īstenos iestādes struktūrvienība, jo tas ir pašas iestādes uzdevums. Savukārt organizatoriskos jautājumus, kura iestādes struktūrvienība kādus uzdevumus veic, normatīvajos aktos neraksta. Ņemot vērā minēto, lūdzam precizēt likumprojekta 9. panta otrās daļas 1. punktu, paredzot, ka attiecīgos uzdevumus veic Militārās izlūkošanas un drošības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CERT.LV tam noteiktos uzdevumus izpilda un tiesības īsteno Aizsardzības ministrijas pakļautībā atbilstoši normatīvajiem aktiem, deleģēšanas līguma noteikumiem un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 panta trešajā daļā izslēgt regulējumu par uzdevumu izpildi un tiesību īstenošanu atbilstoši piešķirtajiem valsts budžeta līdzekļiem kā likumprojekta 9. panta ceturtajā daļā ietvertā regulējuma dublējošu. Papildus lūdzam trešajā daļā izslēgt norādi uz tiesību īstenošanu, kas saturiski ietveras norādē uz noteikto uzdevumu izpildi, tāpat lūdzam izslēgt atsauci uz deleģēšanas līguma noteikumiem, kā arī lūdzam minētajā daļā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Kiberincidentu novēršanas institūcijas šajā likumā noteiktos uzdevumus izpilda atbilstoši tām piešķirtajiem valsts budžeta līdzekļiem, un šīm institūcijām nav tiesību pieprasīt samaksu par veiktajām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likumprojekta 9. panta ceturtajā daļā ietvertajam regulējumam un to izslēgt. Norādām, ka darbošanās atbilstoši piešķirtajiem finanšu līdzekļiem ir iestāžu būtiskā pazīme atbilstoši Valsts pārvaldes iekārtas likumam un, izpildot valsts pārvaldes uzdevumus, atsevišķu samaksu nav pieļaujams pieprasīt, ciktāl tas nav noteikts saskaņā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atbalstu valsts institūcijām valsts drošības sargāšanā, kā arī noziedzīgu nodarījumu un citu likumpārkāpumu atklāšanā (izmeklēšanā) informācijas un komunikācijas tehnoloģiju jomā, ievērojot normatīvajos aktos noteiktos datu elektroniskās apstrādes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10. panta 3. punktā atsaukties uz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noteiktās tiesības kiberincidentu novēršanas institūcijas neīsteno attiecībā uz valsts drošības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3. panta pirmās daļas 2. punktam valsts un pašvaldību institūcijas neietver sevī valsts drošības iestādes, lūdzam likumprojekta 11. panta otrajā daļā nedublēt attiecīgo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kiberdrošības centrs un Satversmes aizsardzības birojs regulāri savstarpēji apmainās ar informāciju par aktualitātēm subjektu uzraudzībā.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20. punktā ietverto iebildumu, atkārtoti lūdzam likumprojekta 20. panta pirmajā daļā vai likumprojekta anotācijā skaidrot regularitāti minētajā daļā ietvertajai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persona veic pašizvērtējumu, nosakot savu atbilstību būtisko pakalpojumu sniedzēja vai svarīgo pakalpojumu sniedzēja statusam. Atbilstības gadījumā juridiskā persona ne vēlāk kā viena mēneša laikā par to paziņo Nacionālajam kiberdrošības centram. Paziņojumā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likumprojektu ar pārejas regulējumu, nosakot, kādā termiņā pēc likumprojekta spēkā stāšanās veicams likumprojekta 18. panta pirmajā daļā minētais pašizvērtējums.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persona veic pašizvērtējumu, nosakot savu atbilstību būtisko pakalpojumu sniedzēja vai svarīgo pakalpojumu sniedzēja statusam. Atbilstības gadījumā juridiskā persona ne vēlāk kā viena mēneša laikā par to paziņo Nacionālajam kiberdrošības centram. Paziņojumā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iestādes nav juridiskas personas, savukārt likumprojekta 18. panta pirmā daļa paredz, ka pašvērtējums par atbilstību būtisko un svarīgo pakalpojumu sniedzēja statusam jāveic tikai juridiskām personām. Ņemot vērā, ka no likumprojekta 16. panta 5. un 6. punkta un 17. panta pirmās daļas 3. un 4. punkta izriet, ka būtisko un svarīgo pakalpojumu sniedzējs var būt valsts un pašvaldību iestāde, lūdzam izvērtēt un nepieciešamības gadījumā precizēt likumprojekta 18. panta pirmo daļu vai skaidrot likumprojekta anotācijā, kāpēc valsts un pašvaldību iestādēm likumprojekta 18. panta pirmajā daļā paredzētais pašizvērtējums nav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persona veic pašizvērtējumu, nosakot savu atbilstību būtisko pakalpojumu sniedzēja vai svarīgo pakalpojumu sniedzēja statusam. Atbilstības gadījumā juridiskā persona ne vēlāk kā viena mēneša laikā par to paziņo Nacionālajam kiberdrošības centram. Paziņojumā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18. panta pirmajā daļā skaidrot termiņu, kādā nosakāma atbilstība būtisko pakalpojumu sniedzēja vai svarīgo pakalpojumu sniedzēja statusam, kā arī atskaites punktu viena mēneša aprēķināšanai paziņošanai par atbilstību,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Būtisko pakalpojumu sniedzējs un svarīgo pakalpojumu sniedzējs ne vēlāk kā divu nedēļu laikā paziņo Nacionālajam kiberdrošības centram par jebkādām izmaiņām šī panta pirmajā daļā minētajā paziņojumā norādītajās ziņās.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likumprojekta 18. panta otrajā daļā paredzēt, ka informācija ir sniedzama nekavējoties, bet ne vēlāk kā divu nedēļu laikā atbilstoši direktīvas Nr. 2022/2555 3. panta 4. punkta otrajā daļā noteiktajam. Kā arī lūdzam minētajā pantā diferencēt regulējumu atkarībā no, tā, vai informāciju sniedz atbilstoši minētās direktīvas 27. pantā noteiktajam, kas cita starpā paredz atšķirīgu termiņu informācijas sniegšanai atšķirīgu sniedzamo informāciju. Tāpat līdzīgi lūdzam paredzēt vairāku darbību veikšanu nekavējoties likumprojekta 10. panta 5. punktā un 30. pantā, ciktāl to paredz direktīvas Nr. 2022/2555 23. pantā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Subjekts par kiberdrošības pārziņa noteikšanu ne vēlāk kā piecu darba dienu laikā paziņo Nacionālajam kiberdrošības centram. Paziņojumā norāda kiberdrošības pārziņa vārdu, uzvārdu, personas kodu, ieņemamo amatu, elektroniskā pasta adresi un tālruņa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likumprojektu ar pārejas regulējumu, nosakot termiņu, līdz kuram pēc likumprojekta spēkā stāšanās izpildāms likumprojekta 21. panta otrajā daļā paredzētais pienākums. Vienlaikus lūdzam noteikt atskaites punktu, no kura brīža minētajā daļā skaitāms piecu darba dienu paziņošanas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minimālās kiberdrošības prasības subjektiem un kārtību, kādā subjekti nodrošina savu informācijas un komunikācijas tehnoloģiju sistēmu atbilstību minimālajām kiberdrošības prasībām, kā arī prasības un veicamos pasākumus subjektu informācijas sistēmu konfidencialitātes, integritātes un pieejamības nodrošināšanai un datu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47. pantā ietverto iebildumu atkārtoti lūdzam nodrošināt, ka likumprojektā tiek noteikti vismaz pamatnoteikumi (principi un vispārīgi ierobežojumi un pamatnostādnes) jautājumos, kurus detalizētāk noregulēs Ministru kabinets, piemēram, likumprojekta 22. panta gadījumā attiecībā uz kiberdrošības risku pārvaldības regulējumu paredzot vispārīgus nosacījumus, kas izriet no direktīvas Nr. 2022/2555 21. panta 1.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Subjekts nozīmīga kiberapdraudējuma gadījumā informē informācijas un komunikācijas tehnoloģiju tīkla, sistēmas vai pakalpojuma galalietotājus, kurus šāds apdraudējums varētu skart, kā arī informē par iespējamajiem kiberdrošības pasākumiem vai līdzekļiem, ko galalietotāji var izmantot. Vajadzības gadījumā subjekts informē galalietotāju arī par pašu kiberapdraudējumu.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direktīvas Nr. 2022/2555 23. panta 2. punkts paredz, ka dalībvalstis nodrošina, ka būtiskās un svarīgās vienības </w:t>
            </w:r>
            <w:r w:rsidR="00000000" w:rsidRPr="00000000" w:rsidDel="00000000">
              <w:rPr>
                <w:u w:val="single"/>
                <w:rtl w:val="0"/>
              </w:rPr>
              <w:t xml:space="preserve">bez nepamatotas kavēšanās</w:t>
            </w:r>
            <w:r w:rsidR="00000000" w:rsidRPr="00000000" w:rsidDel="00000000">
              <w:rPr>
                <w:rtl w:val="0"/>
              </w:rPr>
              <w:t xml:space="preserve"> paziņo saviem pakalpojumu saņēmējiem, kurus varētu skart būtiski kiberdraudi, par visiem pasākumiem vai korektīvajiem līdzekļiem, ko minētie saņēmēji var izmantot, reaģējot uz minētajiem draudiem. Attiecīgā gadījumā vienības informē minētos saņēmējus arī par pašiem būtiskajiem kiberdraudiem. Attiecīgi lūdzam likumprojekta 23. panta otrajā daļā ietverto norādi uz galalietotāja informēšanu vajadzības gadījumā, kā arī norādīt, ka galalietotājus informē nekavējoties, tādējādi nodrošinot minētās direktīvas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minētais Nacionālā kiberdrošības centra lēmums stājas spēkā tā paziņošanas brīdī. Lēmuma apstrīdēšana vai pārsūdzēšana neaptur tā darbību un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33. panta trešās daļas pirmo teikumu, ņemot vērā to, ka tas dublē Administratīvā procesa likuma 70.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kiberincidentu novēršanas institūcija var sniegt atbalstu saziņā starp ievainojamības atklāšanas ziņojuma iesniedzēju un attiecīgo subjektu, ja kāda no pusēm izsaka šādu vēlmi.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35. panta sestajā daļā paredzēto izņēmumu, lūdzam precizēt likumprojekta 36. panta ceturto daļu, nodrošinot, ka saziņā tiek ievērota anonimitāte.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Pašnovērtējuma ziņojumā iekļaujamās informācijas veidu un apjomu, kā arī pašnovērtējuma ziņojuma formu (veidlapu) izstrādā Nacionālais kiberdrošības centrs sadarbībā ar Satversmes aizsardzības biroju un apstiprina Digitālās drošības uzraudzības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39. panta otro daļu (u.c. vienības), nodrošinot, ka iesniedzamās informācijas veids un apjoms ir ietverts ārējā normatīvajā tiesību aktā. Kā arī lūdzam likumprojektā nodrošināt, ka pašnovērtējuma ziņojuma forma (veidlapa) nav indivīdiem saistoša, bet informāciju pašnovērtējuma ziņojumā var sniegt izmantojot minēto formu. Norādām, ka indivīdiem nav juridiski saistoša Aizsardzības ministrijas mājaslapā internetā iekļauta informācija, bet atbilstošas prasības ir ietveramas ārējā normatīvajā tiesību aktā (vai nepieciešamības gadījumā publikācijā oficiālā izdevumā).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Pašnovērtējuma ziņojumā iekļaujamās informācijas veidu un apjomu, un pašnovērtējuma ziņojuma formu Nacionālais kiberdrošības centrs paziņo ar publikāciju Aizsardzības ministrijas mājaslapā internetā ne vēlāk kā līdz kārtējā gada 1.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likumprojekta 39. pantu, izvairoties no sinonīmu lietošanas attiecībā uz vārdiem "forma (veidlapa)" vai alternatīvi lūdzam likumprojektā nodrošināt to konsekventu lietojumu. Norādām, ka, piemēram, šobrīd no 39. panta trešās daļas skaidri neizriet, vai pašnovērtējuma ziņojuma forma ietver sevī arī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kiberdrošības centrs un Satversmes aizsardzības birojs atbilstoši šā likuma </w:t>
            </w:r>
            <w:r w:rsidR="00000000" w:rsidRPr="00000000" w:rsidDel="00000000">
              <w:rPr>
                <w:rtl w:val="0"/>
              </w:rPr>
              <w:t xml:space="preserve">38. </w:t>
            </w:r>
            <w:r w:rsidR="00000000" w:rsidRPr="00000000" w:rsidDel="00000000">
              <w:rPr>
                <w:rtl w:val="0"/>
              </w:rPr>
              <w:t xml:space="preserve">pantā</w:t>
            </w:r>
            <w:r w:rsidR="00000000" w:rsidRPr="00000000" w:rsidDel="00000000">
              <w:rPr>
                <w:rtl w:val="0"/>
              </w:rPr>
              <w:t xml:space="preserve"> noteiktajam subjektu uzraudzības dalījumam ir tiesīgi veikt subjekta atbilstības auditu vai uzdot subjektam veikt ārēju auditu par subjekta atbilstību šajā likumā un Ministru kabineta noteiktajām kiberdrošības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ārējā audita izmaksas sedz attiecīgais subjekts un, ņemot vērā izziņā sniegto atbildīgās ministrijas skaidrojumu, ka ārējo auditu nav paredzēts veikt, ja tiek nodrošinātas visas kiberdrošības prasības, lūdzam likumprojektā skaidri atrunāt, kādos gadījumos tiks veikts ārējais audits, vai paredzēt, ka gadījumos, ja netiek konstatēta neatbilstība kiberdrošības prasībām, ārējā audita izmaksas subjektam nav jāsedz, atrunājot likumprojektā šo izmaksu segšanas kārtību attiecīgajos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tiesiskā pienākuma piespiedu izpildi adresātu brīdina rakstveidā. Brīdinājums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42. panta trešo daļu, ņemot vērā to, ka tā dublē Administratīvā procesa likuma 361.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piespiedu naudu uzliek ar izpildrīkojumu, kuru var izdot atkārtoti, līdz adresāts izpilda tiesisko pienākumu.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42. panta ceturto daļu, ņemot vērā to, ka tā dublē Administratīvā procesa likuma 370.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piespiedu naudas apmērs juridiskajai personai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likumprojekta 42. panta sestajā daļā ietvertās piespiedu naudas maksimāla apmēra noteikšanas nepieciešamību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izpildrīkojumu septiņu dienu laikā pēc tā saņemšanas var iesniegt sūdzību Administratīvajā apgabaltiesā. Sūdzību izskata saprātīgā termiņā, bet ne vēlāk kā viena mēneša laikā no tās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363. pants paredz piespiedu izpildes apstrīdēšanas un pārsūdzēšanas kārtību. Saistībā ar minēto lūdzam likumprojekta anotācijā skaidrot, kāpēc likumprojekta 42. panta septītajā daļā ir nepieciešams noteikt no Administratīvā procesa likumā paredzētās kārtības atšķirīgu kārtību, jo īpaši, kāpēc nepieciešams paredzēt, ka sūdzība iesniedzama Administratīvajā apgabaltiesā, kā arī sūdzība izskatāma mēneša laikā no tās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77. punktā ietverto iebildumu un atkārtoti lūdzam likumprojekta anotācijā skaidrot atbilstošu pamatojumu Ministru kabineta noteikumu izstrādei pēc likumprojekta (likuma) spēkā stāšanās termiņa, tai skaitā norādot, kā tiks nodrošināta likuma pilnvērtīga darbība līdz brīdim, kad tiks izdoti attiecīgie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pilnveidot likumprojekta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minētajā sadaļā neaprobežoties ar likumprojektā ietvertā likumdevēja pilnvarojuma Ministru kabinetam pārrakstīšanu, bet tā vietā lūdzam skaidrot katra pilnvarojuma būtību un nepieciešamību. Norādām, ka šobrīd skaidrojums nav sniegts par vairākiem likumprojektā paredzētiem pilnvarojumiem Ministru kabineta noteikumu izdošanai, savukārt pilnvarojuma būtība skaidrota vienīgi attiecībā uz Ministru kabineta instrukcijas projektu “Kārtība un kritērijus, kādā Latvija veic kiberincidentu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nodrošinot, ka likumprojektā ietvertais deleģējums tekstuāli atbilst skaidrojumam, kas ietverts minētajā sadaļā. Norādām, ka, piemēram, 4. sadaļā norādīts, ka Ministru kabinets noteiks kiberdrošības operāciju centru izveides un darbības noteikumus koplietošanas datu centros, savukārt likumprojekts paredz Ministru kabinetam noteikt koplietošanas operāciju centru izveides un darbības noteikumus koplietošanas datu centros. Tāpat, piemēram, 4. sadaļā norādīts, ka Ministru kabinets noteiks valsts informācijas un komunikācijas tehnoloģiju sistēmu izvietošanas noteikumus koplietošanas datu centros, savukārt likumprojekts neparedz, ka izvietošanas noteikumi attieksies vienīgi uz valsts informācijas un komunikācijas tehnoloģiju sistēmu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ja likumprojektā paredzētais pilnvarojums Ministru kabineta noteikumu izdošanai paredz noteikt noteiku kārtību, proti, likumprojekta 19. panta otrajā daļā, 23. panta trešajā daļā, 24. panta otrajā daļā, 26. panta otrās daļas 1. punktā, 27. panta 4. punkts, 28. panta otrajā daļā, 28. panta trešās daļas 1. punktā un 30. panta otrajā daļā, anotācijas 4. sadaļā lūdzam skaidrot, vai Ministru kabinets regulēs tikai procesuālus aspektus.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1</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2</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6. maija spriedums lietā Nr. 2010-57-03, 13.3. apakšpunkts.</w:t>
            </w:r>
            <w:r w:rsidR="00000000" w:rsidRPr="00000000" w:rsidDel="00000000">
              <w:rPr>
                <w:vertAlign w:val="superscript"/>
                <w:rtl w:val="0"/>
              </w:rPr>
              <w:t xml:space="preserve">[2]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atkārtoti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pilnveidot likumprojekta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sniedzot skaidrojumu par vairāku direktīvas Nr. 2022/2555 normās, kas paredz uz dalībvalstīm attiecināmus pienākumus, ietverto prasību pārņemšanu nacionālajos tiesību aktos, tai skaitā direktīvas 2. panta 1., 2. (arī apakšpunktu līmenī), 3., 4., 10., 13. punktā, kā arī 14. punkta otrajā daļā, 3. panta 5. un 6. punktā, 4. pantā, 6. panta 2., 5., 35., 38. u.c. punktos, 7. panta 2. punkta "h" apakšpunktā, 7. panta 3. un 4. punktā, 8. panta 3.-6. punktā, 9. panta 3. punktā, 10. panta 3., 4., 6.-9. punktā, 11. panta 3. punkta otrajā un trešajā daļā, 12. panta 1. punktā, 13. panta 6. punktā, 23. panta 4. punkta "c" apakšpunktā, minētā panta 4. punkta otrajā daļā, 23. panta 8. punktā, 26. pantā, 27. panta 4. punktā, 28., 29. pantā, 30. panta 2. punkta otrajā daļā, 32. panta 2. punkta otrajā daļā un trešajā daļā, 5. punkta otrajā un trešajā daļā, 6., 7. un 10. punktā, 33. panta 1., 5. un 6. punktā, 35. un 37.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sniegt par katru direktīvas vienību atsevišķi un vienuviet (atkārtoti neskaidrojot konkrētu vienību pārņemšanu vairākās 1. tabulas rindās), kā arī informāciju sniedzot pēc iespējas detalizēti (proti, pantu, tā daļu, punktu un apakšpunktu līmenī), iepretim norādot attiecīgā nacionālā normatīvā akta vienību (apakšvienību), tai skaitā detalizētāk skaidrojot direktīvas Nr. 2022/2555 3. panta 1. punkta, 11. panta 3. punkta, 27. panta 2. punkta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pārskatīt un nodrošināt, ka informācija ir sniegta precīzi. Norādām, ka direktīvas 3. panta 3. punkta prasības pārņemtas cita starpā arī likumprojekta 18. panta ceturtajā daļā, savukārt direktīvas 32. panta 9. punkta prasības nav pārņemtas likumprojekta 7. panta otrajā daļā, jo šāda daļa minētajam pantam nav atrodama;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vai skaidrot direktīvas direktīvas Nr. 2022/2555 prasību pārņemšanu, piemēram,  6. panta 31. apakšpunkta pārņemšanu likumprojekta 5. panta pirmās daļas 9. punktā (nevis 5. panta 9. apakšpunktā, kā norādīts anotācijas 5.4. sadaļas 1. tabulā), 7. panta 2. punkta "j" apakšpunkta pārņemšanu likumprojekta 43. panta ceturtajā daļā,  9. panta 1. punkta pārņemšanu likumprojekta 5. panta 13. punktā (tai skaitā nav skaidrs, kura institūcija atbild par plašapmēra kiberdrošības incidentu un krīžu pārvaldību un vai tās ir vairākas (Satversmes aizsardzības birojs un Aizsardzības ministrija v.c.), 9. panta 4. punkta "a", "e" un "f" apakšpunkta pārņemšanu attiecīgajās likumprojekta 32. panta ceturtās daļas apakšvienībās, 11. panta trešā punkta "b" apakšpunkta pārņemšanu likumprojekta 5. panta pirmās daļas 17. punktā, 15. panta 2. punkta pārņemšanu likumprojekta 1. panta 2. punktā, 23. panta 4. punkta "b" apakšpunkta pārņemšanu likumprojekta 30. panta otrajā daļā (arī 23. panta 4. punkta "b" apakšpunkta pārņemšanu likumprojekta 30. panta trešajā daļā), 30. panta 1. un 2. punkta pārņemšanu likumprojekta 30. panta trešajā daļā (attiecībā uz paziņojumu apstrādes kārtību un kiberdraudiem un gandrīz notikušiem notikumiem), 31. panta 3. punkta pārņemšanu likumprojekta 6. panta pirmās daļas 1. apakšpunktā un 38. pantā, 31. panta 3. punkta un direktīvas 32. panta 8. punkta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papildināt likumprojekta anotācijas 5. sadaļu ar informāciju par Eiropas Parlamenta un Padomes 2009. gada 25. novembra direktīvas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Eiropas Parlamenta un Padomes 2018. gada 11. decembra direktīvas (ES) 2018/1972 par Eiropas Elektronisko sakaru kodeksa izveidi un direktīvas Nr. 2008/114/EK un direktīvas Nr. 2016/1148 un Eiropas Parlamenta un Padomes 2008. gada 8. decembra direktīvas (ES) 2008/114/EK par to, lai apzinātu un noteiktu Eiropas Kritiskās infrastruktūras un novērtētu vajadzību uzlabot to aizsardzību,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papildināt ar informāciju par Eiropas Parlamenta un Padomes 2021. gada 20. maija regulā (ES) Nr. 2021/887, ar ko izveido Eiropas Industriālo, tehnoloģisko un pētniecisko kiberdrošības kompetenču centru un Nacionālo koordinācijas centru tīklu, ietverto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 Nr. 2022/2555 vairākos gadījumos (sk. 2. panta 5., 8. punktu, 3. panta 4. punkta ceturto daļu, 24. panta 1. punktu, 30. panta 2. punkta pirmo daļu, 31. panta 2. punktu, 31. panta 4. punktu, 34. panta 6. un 7. punktu) paredz rīcības brīvību, lūdzam atbilstoši aizpildīt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direktīvā Nr. 2022/2555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MilCERT.LV sniedz informāciju CERT.LV, lai tas nodrošinātu šā likuma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uzdevumu īstenošanu, kā arī citu tā rīcībā esošo informāciju par CERT.LV kompetencē esošajiem kiberincidentiem.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10. panta trešajā daļā ietverto atsauci uz šā likuma 10. panta 3. punktu, svītrojot pieturzīmi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ietvaru ar valsts un pašvaldību iestādēm, kā arī privātā sektora pārstāvjiem, uz ko potenciāli attiektos nozīmīga kiberincidenta ietekme.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32. panta ceturtās daļas 4. punktu, norādot uz sadarbības ietvaru, nevis sabiedrības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14.04.2023.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14.04.2023.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