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Konvencijas par kultūras vērtību aizsardzību bruņota konflikta gadījumā Otro 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kancelejas 2019. gada 17. janvāra rekomendāciju, aicinām izteikt pantu jaunā redakcijā, kā arī izvērtēt, vai ir objektīvs pamatojums likumprojekta 4. pantā paredzētajam izņēmumam no vispārīgajiem likumu izsludināšanas un spēkā stāšanās nosacījumiem. Ja pamatojuma nav, tad lūgums svītrot pantu, kurā paredzēts šis izņēmums.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Otrais protokols stājas spēkā tā 43. pantā noteiktajā laikā un kārtībā, un Ārlietu ministrija par to paziņo laikrakstā "Latvijas Vēstnesis". Līdz ar likumu izsludināms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Sonja Miķelsone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atsaucoties uz Likuma “Par Latvijas Republikas starptautiskajiem līgumiem” 8. pantu, norādīts, ka Ārlietu ministrija sagatavo ratifikācijas rakstu, ko paraksta Valsts prezidents un līdzparaksta ārlietu ministrs. Vēršam uzmanību, ka ratifikācijas rakstu apmaiņa attiecināma uz starpvalstu līgumiem, kas uzskaitīti Likuma “Par Latvijas Republikas starptautiskajiem līgumiem” 7. pantā. Attiecībā uz citiem starptautiskajiem līgumiem Likuma “Par Latvijas Republikas starptautiskajiem līgumiem” 10. pants paredz, ka Ārlietu ministrija deponē pievienošanās dokumentus. Saskaņā ar Vīnes konvencijas par starptautisko līgumu tiesībām 7. pantu ratifikācijas dokumentu var parakstīt bez pilnvaras valsts vadītājs, valdības vadītājs vai ārlietu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 pantu Konvencijas Otrais protokols stājas spēkā tā 43. pantā noteiktajā laikā un kārtībā, un Ārlietu ministrija par tā spēkā stāšanos paziņo oficiālajā izdevumā “Latvijas Vēstnesis”. Saskaņā ar Likuma “Par Latvijas Republikas starptautiskajiem līgumiem” 10. pantu Ārlietu ministrija deponē pievienošanās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Sonja Miķelsone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03.06.2026.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03.06.2026.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Atzinumi_26-TA-1187.docx</dc:title>
</cp:coreProperties>
</file>

<file path=docProps/custom.xml><?xml version="1.0" encoding="utf-8"?>
<Properties xmlns="http://schemas.openxmlformats.org/officeDocument/2006/custom-properties" xmlns:vt="http://schemas.openxmlformats.org/officeDocument/2006/docPropsVTypes"/>
</file>