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V sadaļā “Ar komercdarbības atbalsta saņemšanu saistītie nosacījumi” svītrot atsauci uz Komisijas 2013. gada 18. decembra Regulu (ES) 1408/2013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jo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2.panta 9.apakšpunkta d) punktu, divpakāpju projektā finansējuma saņēmējs nevar piešķirt atbalstu gala labuma guvējam ar minēto regulu.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Finanšu atbalstu (turpmāk – </w:t>
            </w:r>
            <w:r w:rsidR="00000000" w:rsidRPr="00000000" w:rsidDel="00000000">
              <w:rPr>
                <w:i w:val="1"/>
                <w:rtl w:val="0"/>
              </w:rPr>
              <w:t xml:space="preserve">de minimis</w:t>
            </w:r>
            <w:r w:rsidR="00000000" w:rsidRPr="00000000" w:rsidDel="00000000">
              <w:rPr>
                <w:rtl w:val="0"/>
              </w:rPr>
              <w:t xml:space="preserve"> atbalsts) šo noteikumu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mērķa grupai, kas ir saimnieciskās darbības veicēji (turpmāk – atbalsta saņēmējs), par šo noteikumu </w:t>
            </w:r>
            <w:r w:rsidR="00000000" w:rsidRPr="00000000" w:rsidDel="00000000">
              <w:rPr>
                <w:rtl w:val="0"/>
              </w:rPr>
              <w:t xml:space="preserve">18.2.4. </w:t>
            </w:r>
            <w:r w:rsidR="00000000" w:rsidRPr="00000000" w:rsidDel="00000000">
              <w:rPr>
                <w:rtl w:val="0"/>
              </w:rPr>
              <w:t xml:space="preserve">apakšpunktā</w:t>
            </w:r>
            <w:r w:rsidR="00000000" w:rsidRPr="00000000" w:rsidDel="00000000">
              <w:rPr>
                <w:rtl w:val="0"/>
              </w:rPr>
              <w:t xml:space="preserve"> minētajām izmaksām finansējuma saņēmējs (turpmāk – atbalsta sniedzējs) sniedz saskaņā ar Komisijas 2023. gada 13. decembra regulu (ES) 2023/2831 par Līguma par ES darbību 107. un 108. panta piemērošanu </w:t>
            </w:r>
            <w:r w:rsidR="00000000" w:rsidRPr="00000000" w:rsidDel="00000000">
              <w:rPr>
                <w:i w:val="1"/>
                <w:rtl w:val="0"/>
              </w:rPr>
              <w:t xml:space="preserve">de minimis </w:t>
            </w:r>
            <w:r w:rsidR="00000000" w:rsidRPr="00000000" w:rsidDel="00000000">
              <w:rPr>
                <w:rtl w:val="0"/>
              </w:rPr>
              <w:t xml:space="preserve">atbalstam (ES Oficiālais Vēstnesis, 2023. gada 15. decembris, Nr. L 2023/2831) (turpmāk – regula 2023/2831), Komisijas 2014. gada 27. jūnija Regulu (EK) Nr. 717/2014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zvejniecības un akvakultūras nozarē (ES Oficiālais Vēstnesis, 2014. gada 28. jūnijs, Nr. L 190) (turpmāk – regula 717/2014) attiecībā uz zivsaimniecības uzņēmumiem, kas darbojas saskaņā ar Eiropas Parlamenta un Padomes 2013. gada 11. decembra Regulu (ES) Nr. 1379/2013 par zvejas un akvakultūras produktu tirgu kopīgo organizāciju (turpmāk – regula 1379/2013) un ar ko groza Padomes Regulas (EK) Nr. 1184/2006 un (EK) Nr. 1224/2009 un atceļ Padomes Regulu (EK) Nr. 104/2000 (ES Oficiālais Vēstnesis, 2013. gada 28. decembris, Nr. L 354), vai Komisijas 2013. gada 18. decembra Regulu (ES) Nr. 1408/2013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(ES Oficiālais Vēstnesis, 2013. gada 24. decembris, Nr. L 352) (turpmāk – regula 1408/2013)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33.punktā noteikts, ka </w:t>
            </w:r>
            <w:r w:rsidR="00000000" w:rsidRPr="00000000" w:rsidDel="00000000">
              <w:rPr>
                <w:i w:val="1"/>
                <w:rtl w:val="0"/>
              </w:rPr>
              <w:t xml:space="preserve">de minimis</w:t>
            </w:r>
            <w:r w:rsidR="00000000" w:rsidRPr="00000000" w:rsidDel="00000000">
              <w:rPr>
                <w:rtl w:val="0"/>
              </w:rPr>
              <w:t xml:space="preserve"> atbalstu piemēro izmaksām, kas minētas noteikumu 18.2.4.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18.2.4. apakšpunktā uzskaitīta dotācija gan darba vietas pielāgošanai, tai skaitā darba vietas aprīkojuma piegādei un uzstādīšanai, gan darba procesu uzlabošanai, gan arī kompensācija obligāto veselības pārbaužu (turpmāk – OVP) veikšanai. Savukārt, noteikumu 18.2.5. apakšpunktā kā attiecināmās izmaksas minēta kompensācija mērķa grupai jeb nodarbinātajiem vecumā no 45 gadiem dalībai veselības uzlabošanas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vērtējums komercdarbības atbalsta kontroles kontekstā, kas ir pretrunā noteikumu projektam, jo argumentēts, ka 18.2.4. apakšpunktā minētās obligātās veselības pārbaužu veikšanas kompensācijai nav jāpiemēro </w:t>
            </w:r>
            <w:r w:rsidR="00000000" w:rsidRPr="00000000" w:rsidDel="00000000">
              <w:rPr>
                <w:i w:val="1"/>
                <w:rtl w:val="0"/>
              </w:rPr>
              <w:t xml:space="preserve">de minimis </w:t>
            </w:r>
            <w:r w:rsidR="00000000" w:rsidRPr="00000000" w:rsidDel="00000000">
              <w:rPr>
                <w:rtl w:val="0"/>
              </w:rPr>
              <w:t xml:space="preserve">atbalsta regulējums. Pasākuma kontekstā redzams, ka ir noteikti limiti kompensācijai, taču skaidrojam, ka komercdarbības atbalsta pazīmju analīzes kontekstā tiem nav nozīmes, jo ir jāsaprot kopumā, vai pasākumā vienlaikus izpildās visas komercdarbības atbalsta pazīmes.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ietverto analīzi, novēršot pretrunu ar noteikumu projektā paredzēto un korekti atspoguļojot argumentus valsts atbalsta pazīmju vērtēšanai, lai atbilstu noteikumu projekta 33.punktam. Tā kā OVP netiek segtas ikvienam mērķa grupas indivīdam, bet tikai tiem, kas nodarbināti pie konkrētiem darba devējiem, pasākums ir komercdarības atbalsts un attiecīgi jāpiemēro </w:t>
            </w:r>
            <w:r w:rsidR="00000000" w:rsidRPr="00000000" w:rsidDel="00000000">
              <w:rPr>
                <w:i w:val="1"/>
                <w:rtl w:val="0"/>
              </w:rPr>
              <w:t xml:space="preserve">de minimis</w:t>
            </w:r>
            <w:r w:rsidR="00000000" w:rsidRPr="00000000" w:rsidDel="00000000">
              <w:rPr>
                <w:rtl w:val="0"/>
              </w:rPr>
              <w:t xml:space="preserve">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 (Sarma Liepa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ietverto skaidrojumu par to, kāpēc sadarbības partneru līmenī nav konstatējams komercdarbības atbalsts, skaidrojot, kura no pazīmēm neizpildās. Salīdzinoši mazs atbalsta apjoms nav arguments komercdarbības atbalsta kontekstā. Aprakstītajiem sadarbības partneru sniegtajiem pakalpojumiem, mūsuprāt, pastāv tirgus; šādu pakalpojumu sniedzēji ir arī citur Eiropas Savienībā; minētie argumenti nepalīdz saprast, vai sadarbības partneru konkrētu pakalpojumu nodrošināšana ikvienam darba devējam būtu vai nebūtu uzskatāma par saimniecisko darbību un vai vienlaikus izpildās visas komercdarbības atbalsta pazīmes. Skaidrojam arī, ka praksē ir jāpārbauda, vai 'deleģējums' tiek īstenots organizējot un pašam nenodarbojoties ar saimniecisko darbību vai arī iesaistoties saimnieciskā darbībā; jāskatās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arī attiecībā uz anotācijā ietverto skaidrojumu par OVP veikšanu, lūdzam pārskatīt un precizēt analīzi komercdarbības atbalsta kontroles kontekstā. Piemēram, ņemot vērā to, ka pasākumā atbalsts nebūs pieejams ikvienam indivīdam, kas pārsniedz 45 gadu slieksni, bet fokusēts konkrētiem darba devējiem, kas konkurē ES iekšējā tirgū un tāpēc pēdējās valsts atbalsta pazīmes izpildīšanos izslēgt nevarētu, attiecīgi pasākums ir komercdarbības atbalsts, kuram jāpiemēro valsts atbalsta regulējums (šeit izvēlēts - </w:t>
            </w:r>
            <w:r w:rsidR="00000000" w:rsidRPr="00000000" w:rsidDel="00000000">
              <w:rPr>
                <w:i w:val="1"/>
                <w:rtl w:val="0"/>
              </w:rPr>
              <w:t xml:space="preserve">de minimis)</w:t>
            </w:r>
            <w:r w:rsidR="00000000" w:rsidRPr="00000000" w:rsidDel="00000000">
              <w:rPr>
                <w:rtl w:val="0"/>
              </w:rPr>
              <w:t xml:space="preserve">. Kā jau skaidrots, salīdzinoši neliels finansējuma apjoms valsts atbalsta kontekstā nav arguments.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 (Sarma Liepa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30.4. projekta īstenošanas un maksājuma pieprasījumu sagatavošanas nolūkā veic projekta īstenošanā iesaistīto personu datu apstrādi, identificēšanu un uzskaiti, kā arī izstrādā un uztur Kohēzijas politikas fondu vadības informācijas sistēmu un normatīvajos aktos par aktīvo nodarbinātības pasākumu un preventīvo bezdarba samazināšanas pasākumu organizēšanas un finansēšanas kārtību un pasākumu īstenotāju izvēles principiem noteiktajā kārtībā un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30.4. apakšpunktu, ņemot vērā, ka finansējuma saņēmējs neizstrādā un neuztur Kohēzijas politikas fondu vadības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"LM un NVA rīcībā nav papildus ticamu datu papildus iepriekš minētajiem, lai izdarītu pieņēmumus par projekta ieguvumiem un tos aprēķinātu monetārā izteiksmē. Tāpēc arī finansējuma saņēmējam netiek noteikta prasība veikt izmaksu un ieguvumu analīzi projekta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izmaksu un ieguvumu analīze ir jāveic tādā apjomā, lai pierādītu atbalsta pasākuma atdevi (pasākuma (projekta) tīrā tagadnes vērtība ir lielāka par nulli). Ja ar anotācijā jau minētajiem ieguvumiem ir pietiekami, citi ieguvumi nav jāmeklē. Anotācijā izklāstītā informācija liecina, ka LM un NVA rīcībā ir pietiekama informācija, lai veiktu pilnvērtīgu izmaksu un ieguvumu analīzi atbilstoši vispārpieņemtajiem izmaksu un ieguvumu analīzes principiem, pievienojot to pielikumā anotācijai, kā tas ir izdarīts jau vairāku citu atbalsta pasākumu ietvaros. Lai veicinātu datos balstītas analīzes kultūru valsts pārvaldē un domāšanas maiņu attiecībā uz to, ka izmaksu un ieguvumu analīzei jābūt pamatā lēmuma pieņemšanai par atbalsta pasākuma īstenošanu, aicinām izmantot CFLA izstrādāto izmaksu un ieguvumu analīzes matemātisko modeli, pievienojot aprēķinus pielikumā, bet secinājumus par rezultātiem izdarīt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esošajā aprakstā nav skaidrs, vai skaidroti visi ietekmes faktori, piemēram, projekta uzturēšanas izmaksas vai citas papildus izmaksas, kas var rasties projekta īstenošanas periodā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1.3.apakšsadaļas punktā “Risinājuma apraksts” norādītās projekta īstenošanai kopējās personāla slodzes, jo, saskaitot Nodarbinātības valsts aģentūras (16), Rīgas Stradiņa universitātes aģentūras “Darba drošības un vides veselības institūts” (4,3), Latvijas Brīvo arodbiedrību savienības (2,4) un Latvijas Darba devēju konfederācijas (1,8) personāla slodzes, veidojas indikatīvi 24,5 personāla slodzes, nevis 21,3 personāla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1.3.apakšsadaļas punktā “Risinājuma apraksts” norādītās projekta kopējās netiešās izmaksas, jo, saskaitot Nodarbinātības valsts aģentūras – 0,74 milj. </w:t>
            </w:r>
            <w:r w:rsidR="00000000" w:rsidRPr="00000000" w:rsidDel="00000000">
              <w:rPr>
                <w:i w:val="1"/>
                <w:rtl w:val="0"/>
              </w:rPr>
              <w:t xml:space="preserve">euro</w:t>
            </w:r>
            <w:r w:rsidR="00000000" w:rsidRPr="00000000" w:rsidDel="00000000">
              <w:rPr>
                <w:rtl w:val="0"/>
              </w:rPr>
              <w:t xml:space="preserve">, Rīgas Stradiņa universitātes aģentūras “Darba drošības un vides veselības institūts” – 0,054 milj. </w:t>
            </w:r>
            <w:r w:rsidR="00000000" w:rsidRPr="00000000" w:rsidDel="00000000">
              <w:rPr>
                <w:i w:val="1"/>
                <w:rtl w:val="0"/>
              </w:rPr>
              <w:t xml:space="preserve">euro</w:t>
            </w:r>
            <w:r w:rsidR="00000000" w:rsidRPr="00000000" w:rsidDel="00000000">
              <w:rPr>
                <w:rtl w:val="0"/>
              </w:rPr>
              <w:t xml:space="preserve">, Latvijas Brīvo arodbiedrību savienības  – 0,029 milj. </w:t>
            </w:r>
            <w:r w:rsidR="00000000" w:rsidRPr="00000000" w:rsidDel="00000000">
              <w:rPr>
                <w:i w:val="1"/>
                <w:rtl w:val="0"/>
              </w:rPr>
              <w:t xml:space="preserve">euro </w:t>
            </w:r>
            <w:r w:rsidR="00000000" w:rsidRPr="00000000" w:rsidDel="00000000">
              <w:rPr>
                <w:rtl w:val="0"/>
              </w:rPr>
              <w:t xml:space="preserve">un Latvijas Darba devēju konfederācijas – 0,021 milj. </w:t>
            </w:r>
            <w:r w:rsidR="00000000" w:rsidRPr="00000000" w:rsidDel="00000000">
              <w:rPr>
                <w:i w:val="1"/>
                <w:rtl w:val="0"/>
              </w:rPr>
              <w:t xml:space="preserve">euro </w:t>
            </w:r>
            <w:r w:rsidR="00000000" w:rsidRPr="00000000" w:rsidDel="00000000">
              <w:rPr>
                <w:rtl w:val="0"/>
              </w:rPr>
              <w:t xml:space="preserve">netiešās izmaksas, veidojas indikatīvi izmaksas 0,844 milj. </w:t>
            </w:r>
            <w:r w:rsidR="00000000" w:rsidRPr="00000000" w:rsidDel="00000000">
              <w:rPr>
                <w:i w:val="1"/>
                <w:rtl w:val="0"/>
              </w:rPr>
              <w:t xml:space="preserve">euro</w:t>
            </w:r>
            <w:r w:rsidR="00000000" w:rsidRPr="00000000" w:rsidDel="00000000">
              <w:rPr>
                <w:rtl w:val="0"/>
              </w:rPr>
              <w:t xml:space="preserve">, nevis 0,84 milj.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redakcionāli precizēt anotācijas 3.sadaļas 6.punkta 2.rindkopu, pēc vārdu saīsinājuma “ESF” lietojot vārdu “Plus”.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17.05.2024.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17.05.2024.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