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negatīvo ekonomisko seku mazināšanai cūkkopības, mājputnu audzēšanas un segto platību dārzeņkopības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pēc atbalsta piešķiršanas 12 mēnešu laikā veic administratīvās kontroles atbalsta pretendentiem, kas iesniedza iesniegumu atbalsta saņemšanai un kas netika pārbaudīti saskaņā ar šo noteikumu </w:t>
            </w:r>
            <w:r w:rsidR="00000000" w:rsidRPr="00000000" w:rsidDel="00000000">
              <w:rPr>
                <w:rtl w:val="0"/>
              </w:rPr>
              <w:t xml:space="preserve">23.2.</w:t>
            </w:r>
            <w:r w:rsidR="00000000" w:rsidRPr="00000000" w:rsidDel="00000000">
              <w:rPr>
                <w:rtl w:val="0"/>
              </w:rPr>
              <w:t xml:space="preserve"> apakšpunktu. Ja konstatē pārkāpumus, atbalsts tiek atgūts saskaņā ar šo noteikumu </w:t>
            </w:r>
            <w:r w:rsidR="00000000" w:rsidRPr="00000000" w:rsidDel="00000000">
              <w:rPr>
                <w:rtl w:val="0"/>
              </w:rPr>
              <w:t xml:space="preserve">8.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atgūšanas kārtība, kas ir noteikta šo noteikumu 8.punktā attiecās uz gadījumiem, kad tiek konstatēti šajos noteikumos noteikto komercdarbības atbalsta nosacījumu pārkāpumi, proti, nosacījumi, kas izriet no piemērojamā komercdarbības atbalsta regulējuma. Pēc anotācijā sniegtās informācijas, secināms, ka administratīvās pārbaudes attieksies, t.sk. uz šo noteikumu 9.punktā ietverto prasību, kas neizriet no piemērojamā komercdarbības atbalsta regulējuma. Ievērojot minēto, lūdzam precizēt 23.4. apakšpunkta otro teikumu, lai nepamatoti netiktu paplašināta šo noteikumu 8.punktā noteiktā atgūšanas kārtība. Lūdzam atbilstoši precizēt arī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07.11.2022.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07.11.2022.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Atzinumi_22-TA-3203.docx</dc:title>
</cp:coreProperties>
</file>

<file path=docProps/custom.xml><?xml version="1.0" encoding="utf-8"?>
<Properties xmlns="http://schemas.openxmlformats.org/officeDocument/2006/custom-properties" xmlns:vt="http://schemas.openxmlformats.org/officeDocument/2006/docPropsVTypes"/>
</file>