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2.2.4.sadaļā ir norādīts, ka noteikumu projektā ietvertais regulējums samazinās administratīvo slogu sponsoram, jo ir paredzēts iesniegt vienu pieteikumu Zāļu valsts aģentūrai un ētikas komitejai. Lūdzu atbilstoši vadlīnijām tiesību akta projekta sākotnējās ietekmes novērtēšanai un novērtējuma ziņojuma sagatavošanai TAP izstrādes un saskaņošanas portālā, veikt plānoto administratīvo izmaksu aprēķinu (kādā apmērā tiks ietaupīti sponsora resursi, prasot vienu pieteikumu, nevis divus) un aprēķina rezultātu iekļaut šajā anotācijas sadaļā. Aprēķinu veikšanā lūdzu izmantot paplašināto standarta izmaksu modeli. Vēršam uzmanību, ka šajā sadaļā jāatspoguļo tikai ietekme uz privātpersonām (fiziskām un juridiskām). Ietekme uz valsts institūcijām, ja tāda ir, jāatspoguļo anotācijas 7.sadaļā. Metodiskie materiāli un skaidrojumi administratīvā sloga aprēķinu veikšanai pieejami šeit: Administratīvā sloga mazināšana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22.12.2023.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22.12.2023.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