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pedagogu palīgu, skolotāju logopēdu un pagarinātās dienas grupas skolotāju ieguldījumu vienotas skolas pieejas īstenošanā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finansējums paredzēts mazākumtautību programmu izglītojamo atbalstam pamatizglītības īstenošanā valsts valodā vienu gadu un tas ir veikts. Uzskatām, ka izveidojies finansējuma pārpalikums nevar būt par pamatu apmācāmo loka paplašināšanai, ņemot vērā to, ka šobrīd notiek intensīvs darbs pie publisko resursu efektivizēšanas un mērķa sasniegšanas ar mazāku finanšu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attīstības plānošanas dokumentu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pie situācijas, ja budžeta ieņēmumi 2025.gadā nepildīsies kā plānots, jau šobrīd var veidoties situācija, ka jāveic pasākumi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atbilstoši 2025.gada 27.marta Ministru kabineta rīkojumam Nr.179 “Par likumprojekta "Par valsts budžetu 2026. gadam un budžeta ietvaru 2026., 2027. un 2028. gadam" sagatavošanas grafiku” nozaru ministrijām ir dots uzdevums veikt nozaru budžetu izdevumu analīzi, sagatavot priekšlikumus sava budžeta resora izdevumu efektivizēšanai (tai skaitā izdevumu samazināšanai, optimizējot funkcijas, publiskos pakalpojumus un veicot strukturālas reformas) un iesniegt tos Finanšu ministrijā apkopošanai un iesniegšanai Ministru kabinetā, lai izskatītu jautājumu par iespējamām nozares politikas izmaiņām un finansējuma pārdalēm.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07.04.2025.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07.04.2025.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Atzinumi_25-TA-287.docx</dc:title>
</cp:coreProperties>
</file>

<file path=docProps/custom.xml><?xml version="1.0" encoding="utf-8"?>
<Properties xmlns="http://schemas.openxmlformats.org/officeDocument/2006/custom-properties" xmlns:vt="http://schemas.openxmlformats.org/officeDocument/2006/docPropsVTypes"/>
</file>