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w:t>
            </w:r>
            <w:r w:rsidR="00000000" w:rsidRPr="00000000" w:rsidDel="00000000">
              <w:rPr>
                <w:i w:val="1"/>
                <w:rtl w:val="0"/>
              </w:rPr>
              <w:t xml:space="preserve">euro</w:t>
            </w:r>
            <w:r w:rsidR="00000000" w:rsidRPr="00000000" w:rsidDel="00000000">
              <w:rPr>
                <w:rtl w:val="0"/>
              </w:rPr>
              <w:t xml:space="preserve">, tajā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EKII finansējuma izlietošanu saskaņā ar EKII ieņēmumu izmantošanas stratēģiju, kā arī nepieciešamo finansējumu, ja 2026./2027. gada apkures sezonā saistībā ar Tuvo Austrumu krīzi iestājas ārkārtējs energoresursu cenu pieaugums (t.sk. ņemot vērā uzdevumu MK 19.05.2026. sēdes protokollēmuma 47 § 3.punktā), Finanšu ministrija uztur iepriekš pausto iebildumu, ka </w:t>
            </w:r>
            <w:r w:rsidR="00000000" w:rsidRPr="00000000" w:rsidDel="00000000">
              <w:rPr>
                <w:b w:val="1"/>
                <w:rtl w:val="0"/>
              </w:rPr>
              <w:t xml:space="preserve">turpmāka EKII finansējuma izlietošana jāveic pēc EKII ieņēmumu izmantošanas stratēģijas apstiprināšanas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vairāki MK protokollēmumi, kā arī Klimatnoturības un ekonomiskās ilgtspējas likums paredz iepriekš minētās stratēģijas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plānošanā un ieviešanā ir būtiski ievērot demarkācijas principu, nodrošinot skaidru robežšķirtni starp dažādiem finansējuma avotiem un atbalsta pasākumiem. Demarkācijas prasību ievērošana ir nepieciešama, lai novērstu dubultfinansējuma risku, nodrošinātu efektīvu publisko līdzekļu izmantošanu un garantētu atbilstību ES fondu pārvaldības un kontroles sistēmas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skaidri aprakstot, kādā veidā tiks nodrošināta konkrētās atbalsta programmas demarkācija un dubultfinansējuma risku novēršana ar Eiropas Savienības kohēzijas politikas programmas 2021. – 2027. gadam 2.1.3. specifiskā atbalsta mērķa "Veicināt pielāgošanos klimata pārmaiņām, risku novēršanu un noturību pret katastrofām" 2.1.3.1. pasākumu "Pašvaldību pielāgošanās klimata pārmaiņām" un  2.1.3.2. pasākumu "Nacionālas nozīmes plūdu un krasta erozijas pasākumi". Vienlaikus lūdzam papildināt nolikumu, paredzot skaidru kārtību, atbildības sadalījumu un iesaistītās institūcijas, kas nodrošina demarkācijas prasību ievērošanu un dubultfinansējuma risku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Konkursa ietvaros netiek atbalstītas darbības, kurām atbalsts būtu kvalificējams kā komercdarbības atbalsts. Ja ir konstatēts, ka ar saimniecisko darbību nesaistīts projekts tā ieviešanas gaitā vai projekta dzīves cikla laikā (amortizācijas periodā) kļūst par projektu, kas saistīts ar saimniecisko darbību, vai ja tiek pārkāptas šajos noteikumos noteiktās komercdarbības atbalsta piešķiršanas prasības vispārējas tautsaimnieciskas nozīmes pakalpojuma sniegšanai,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ka konkursa ietvaros netiek atbalstītas darbības, kurām atbalsts būtu kvalificējams kā komercdarbības atbalsts un atbalsta programmā nav noteiktas komercdarbības atbalsta piešķiršanas prasības vispārējas tautsaimnieciskas nozīmes pakalpojuma sniegšanai, lūdzam precizēt MK noteikumu projekta 86.punktu, dzēšot vārdus “</w:t>
            </w:r>
            <w:r w:rsidR="00000000" w:rsidRPr="00000000" w:rsidDel="00000000">
              <w:rPr>
                <w:i w:val="1"/>
                <w:rtl w:val="0"/>
              </w:rPr>
              <w:t xml:space="preserve">vai ja tiek pārkāptas šajos noteikumos noteiktās komercdarbības atbalsta piešķiršanas prasības vispārējas tautsaimnieciskas nozīmes pakalpojuma sniegšanai</w:t>
            </w:r>
            <w:r w:rsidR="00000000" w:rsidRPr="00000000" w:rsidDel="00000000">
              <w:rPr>
                <w:rtl w:val="0"/>
              </w:rPr>
              <w:t xml:space="preserve">”. Aicinām veikt attiecīgo tehnisko precizējumu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5.3.apakšpunktu, lai tajā norādītais sakristu ar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dzēst pirmo un otro rindkopu, jo visa nepieciešamā informācija jau ir norādīta trešajā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