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garantiju atbalsta piešķiršanas nosacījumus, finansēšanas kārtību un valsts atbalsta nosacījumus sīkajiem (mikro), mazajiem, vidējiem, mazajiem vidējās kapitalizācijas un vidējās kapitalizācijas saimnieciskās darbības veicējiem – juridiskām personām (turpmāk – saimnieciskās darbības veicēji) – ierobežotas portfeļgarantijas veidā, kā arī Covid-19 izraisītās krīzes portfeļgarantijas nosacījumus un Eiropas Savienības kohēzijas politikas programmas 2021.–2027. gadam 1.2.3. specifiskā atbalsta mērķa "Veicināt ilgtspējīgu izaugsmi, konkurētspēju un darba vietu radīšanu MVU, tostarp ar produktīvām investīcijām" 1.2.3.4. pasākuma "Garantijas, portfeļgarantijas pilna cikla uzņēmējdarbībai" (turpmāk – 1.2.3.4. pasākums) portfeļgarantiju nosacījumus tiešo finanšu instrumentu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portfeļgarantiju nepagarināšanu – šobrīd ir pieļaujams, ka portfeļgarantijas tiek pagarinātas nepārsniedzot maksimālo noteikto termiņu konkrētam produktam. Līdz ar maksimālā finansējuma apmēra palielināšanu aktuāls jautājums rodas par to, ko darām pēc termiņa beigām, piemēram, kredītlīnijām, kam termiņš ir noteikts 5 gadi. Lai klients varētu šo summu līguma beigās atmaksāt, ir nepieciešams piemērot amortizāciju, bet faktiski tas nozīmē regulāro apgrozāmo līdzekļu samazinājumu un mazākus portfeļa apmērus. Vai šo būtu iespējams risināt līdz ar šo grozījumu pārskatīšanu? Iespējams, šis pagarināšanas moments tiek atrisināts ar to, ka tiek atļauts veikt refinansēšanu Altum darījumiem, t.i., var tikt refinansēti darījumi no vienas PG kārtas uz citu PG kārtu, attiecīgi darījumi var tikt pārcelti uz nākamo portfeli un attiecīgi tādā veidā arī var tikt pagarināti?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finanšu pakalpojums – finansētāja izsniegti aizdevumi investīciju veikšanai un apgrozāmo līdzekļu finansēšanai, finanšu līzings, banku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finanšu pakalpojums – finansētāja izsniegti aizdevumi investīciju veikšanai un apgrozāmo līdzekļu finansēšanai, finanšu līzings, banku garantijas </w:t>
            </w:r>
            <w:r w:rsidR="00000000" w:rsidRPr="00000000" w:rsidDel="00000000">
              <w:rPr>
                <w:b w:val="1"/>
                <w:rtl w:val="0"/>
              </w:rPr>
              <w:t xml:space="preserve">un kredītvēstules.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Atbalstāmie finanšu pakalpojumi, saimnieciskās darbības veicēji un garantijas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jaunu  9.5.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Vairāki šo noteikumi 9.punktā minētie finanšu pakalpojumi var tikt iekļauti vienā finanšu pakalpojuma līgumā, kas noslēgts starp finansētāju un saimnieciskās darbības veicēju.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banku garantiju (tai skaitā konkursa, avansa maksājuma, maksājuma izpildes vai laika garantiju), banku garantiju limitiem vai kredītvēstuli.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banku garantiju (tai skaitā konkursa, avansa maksājuma, </w:t>
            </w:r>
            <w:r w:rsidR="00000000" w:rsidRPr="00000000" w:rsidDel="00000000">
              <w:rPr>
                <w:b w:val="1"/>
                <w:rtl w:val="0"/>
              </w:rPr>
              <w:t xml:space="preserve">saistību izpildes nodrošinājuma, ieturējuma naudas garantijai,</w:t>
            </w:r>
            <w:r w:rsidR="00000000" w:rsidRPr="00000000" w:rsidDel="00000000">
              <w:rPr>
                <w:rtl w:val="0"/>
              </w:rPr>
              <w:t xml:space="preserve"> maksājuma izpildes vai garantijas laika garantiju), banku garantiju limitiem vai kredītvēstuli, </w:t>
            </w:r>
            <w:r w:rsidR="00000000" w:rsidRPr="00000000" w:rsidDel="00000000">
              <w:rPr>
                <w:b w:val="1"/>
                <w:rtl w:val="0"/>
              </w:rPr>
              <w:t xml:space="preserve">banku kredītvēstuļu limitiem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29.04.2025.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29.04.2025.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