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Viedās administrācijas un reģionālās attīstības ministrija finansiāli nodrošina dabas konsultatīvās padomes darbību, kā arī sadarbojas ar dabas konsultatīvo padomi, iesniedzot tai apspriešanai un priekšlikumu sniegšanai normatīvo aktu projektus dabas aizsardzības jomā un iesaistot to uz dabas aizsardzību attiecināmo dokumentu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 panta trešo daļu, nosakot, ka Viedās administrācijas un reģionālās attīstības ministrija </w:t>
            </w:r>
            <w:r w:rsidR="00000000" w:rsidRPr="00000000" w:rsidDel="00000000">
              <w:rPr>
                <w:u w:val="single"/>
                <w:rtl w:val="0"/>
              </w:rPr>
              <w:t xml:space="preserve">pilda dabas konsultatīvās padomes sekretariāta funkcijas</w:t>
            </w:r>
            <w:r w:rsidR="00000000" w:rsidRPr="00000000" w:rsidDel="00000000">
              <w:rPr>
                <w:rtl w:val="0"/>
              </w:rPr>
              <w:t xml:space="preserve">. Šāds formulējums pēc būtības konkretizē, kā ministrija finansiāli nodrošina padomes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pilda dabas konsultatīvās padomes sekretariāta funkcijas, kā arī sadarbojas ar dabas konsultatīvo padomi, iesniedzot tai apspriešanai un priekšlikumu sniegšanai normatīvo aktu projektus dabas aizsardzības jomā un iesaistot to uz dabas aizsardzību attiecināmo dokumentu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