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nodevu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(1) Transporta radītā piesārņojuma samazināšanai valstspilsētas pašvaldība ir tiesīga noteikt nodevu par ceļu lietošanu tās teritorijā.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Nav saprotams, kādēļ nodevu ir tiesīgas noteikt tikai valstspilsētas pašvaldības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Transporta radītā piesārņojuma samazināšanai pašvaldības ir tiesīgas noteikt nodevu par ceļu lietošanu tās teritorijā.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(2) Nosakot pašvaldības ceļu nodevu, valstspilsētas pašvaldība ņem vērā emisiju līmeni, kā papildu kritēriju var ņemt vērā trokšņu līmeni vai transportlīdzekļa pilno masu.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Izslēgt vārdu "valstspilsētas"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(2) Nosakot pašvaldības ceļu nodevu,  pašvaldības ņem vērā emisiju līmeni, kā papildu kritēriju var ņemt vērā trokšņu līmeni vai transportlīdzekļa pilno masu.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Pašvaldības ceļu nodevas iekasēšanu administrē valstspilsētas pašvaldība, kuras administratīvajā teritorijā nodeva ieviesta.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Izslēgt vārdu "valstspilsētas"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Pašvaldības ceļu nodevas iekasēšanu administrē  pašvaldība, kuras administratīvajā teritorijā nodeva ieviesta.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01.12.2023.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01.12.2023.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