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izpratnē izglītības resursi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121.punktā noteikts, ka noteikumu projektā terminus skaidro, lai konkretizētu terminā izteiktā jēdziena izpratnes robežas, </w:t>
            </w:r>
            <w:r w:rsidR="00000000" w:rsidRPr="00000000" w:rsidDel="00000000">
              <w:rPr>
                <w:u w:val="single"/>
                <w:rtl w:val="0"/>
              </w:rPr>
              <w:t xml:space="preserve">ja termins nav skaidrots vai lietots augstāka juridiskā spēka normatīvajā aktā.</w:t>
            </w:r>
            <w:r w:rsidR="00000000" w:rsidRPr="00000000" w:rsidDel="00000000">
              <w:rPr>
                <w:rtl w:val="0"/>
              </w:rPr>
              <w:t xml:space="preserve"> Izglītības likumā ir lietots termins "izglītības resursi" un "izglītības iestāde" (arī skaidrots), tāpēc Ministru kabineta noteikumos tos nevar skaidrot. Ievērojot minēto, lūdzam 4. un 5.punkta saturu veidot kā informācijas sistēmā iekļaujamā satura vienības, piemēram, tās ietverot noteikumu II.nodaļā "Informācijas sistēmas saturs", neveidojot likumā lietoto terminu citu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iekļauj datus par šādiem izglītības resursiem: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šādu izglītības iestāžu datus: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Vienošanās ir dokuments, kuru apstiprina, izmantojot informācijas sistēmas elektroniskās identifikācijas līdzekļus, vai kuru paraksta papīra formā personas, kuras nodod (piešķir) un saņem izglītības resursu.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punkts atbilst noteikumu nodaļas saturam, kas noteic sistēmas saturu. Iespējams šo skaidrojumu var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sistēmā esošo informāciju informācijas sistēmas pārzinis var izsniegt zinātniskajām institūcijām, žurnālistiem un trešajām pusēm, kas veic pētījumus atbilstoši līgumam, kas noslēgts ar Izglītības un zinātnes ministriju vai tās padotības iestādi, ja informācijas sistēmas pārzinis ir saņēmis rakstveida iesniegumu, kurā norādīts, kādam mērķim iesniegumā pieprasītā informācija tiks izmantota. Informācijas sistēmas pārzinis informācijas sistēmā glabātos personu datus nodod tikai anonimizējot personu identificējošos datus. Pētījumu veicējiem netiek nodota izglītojamo personu un viņu vecāku kontaktinformācija.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informācijas pieejamības pamatprincipus nosaka Latvijas Republikas Satversmes (turpmāk - Satversme)  1., 89., 100. un 116.pants un Informācijas atklātības likums. Informācijas atklātības likuma (turpmāk - IAL) 2.panta trešā daļa noteic, ka iestādes informācija ir pieejama sabiedrībai visos gadījumos, kad </w:t>
            </w:r>
            <w:r w:rsidR="00000000" w:rsidRPr="00000000" w:rsidDel="00000000">
              <w:rPr>
                <w:u w:val="single"/>
                <w:rtl w:val="0"/>
              </w:rPr>
              <w:t xml:space="preserve">likumā </w:t>
            </w:r>
            <w:r w:rsidR="00000000" w:rsidRPr="00000000" w:rsidDel="00000000">
              <w:rPr>
                <w:rtl w:val="0"/>
              </w:rPr>
              <w:t xml:space="preserve">nav noteikts citādi. Informācijas pieejamības ierobežojumi nosakāmi saskaņā ar Satversmes 116.pantā un starptautiskajos cilvēktiesību dokumentos noteikto. IAL 4.pants noteic, ka vispārpieejamā informācija ir tāda informācija, kas nav klasificēta kā ierobežotas pieejamības informācija.  Anotācijā nav pamatots datu pieejamības ierobežojums (t.sk. nav skaidrs, vai tas izriet no likuma), kā arī no projekta regulējuma nav skaidri saprotams, kuri dati ir klasificēti kā ierobežotas pieejamības informācija. Lūdzam izvērtēt minētos aspektus un nodrošināt projekta regulējuma atbilstību informācijas atklātību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Šie noteikumi ir saistoši visiem informācijas sistēmas lietotājiem, kā arī institūciju pārstāvjiem, kuriem piešķirta piekļuve informācijas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svītrot, jo anotācijā nav pamatota tā nepieciešamība, satur pastāvīgu regulējumu, ko nevar ietvert noslēguma jautājumos un ir pārāk nekonkrēts. Noteikumu normas ir saistošas to adresātiem, kurus var noteikt noskaidrojot konkrētās normas saturu. Piemēram, informācijas sistēmas pārzinim, izglītības iestāžu dibinātājiem, datu subjektam. Šobrīd ar šo punktu informācijas sistēmas lietotājiem tiek padarītas saistošas normas, kuru adresāts ir informācijas sistēmas pārzinis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norādītais regulējums jau ir pieņemts, sk. Ministru kabineta 2023. gada 4. aprīļa noteikumi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https://likumi.lv/ta/id/340881. Tāpēc informācija šajā sadaļā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punkts un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27.2.</w:t>
            </w:r>
            <w:r w:rsidR="00000000" w:rsidRPr="00000000" w:rsidDel="00000000">
              <w:rPr>
                <w:rtl w:val="0"/>
              </w:rPr>
              <w:t xml:space="preserve"> apakšpunkts stājas spēkā 2024. 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punktus un apakšpunktus uzskaitīt vienā secīgā virknē nevis atsevišķās.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29.09.2023.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29.09.2023.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