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21-TA-1780: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policiju"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atkārtotas saskaņošanas likumprojekta 1.pantā izteiktais 12. panta pirmās daļas 30.</w:t>
            </w:r>
            <w:r w:rsidR="00000000" w:rsidRPr="00000000" w:rsidDel="00000000">
              <w:rPr>
                <w:vertAlign w:val="superscript"/>
                <w:rtl w:val="0"/>
              </w:rPr>
              <w:t xml:space="preserve">1</w:t>
            </w:r>
            <w:r w:rsidR="00000000" w:rsidRPr="00000000" w:rsidDel="00000000">
              <w:rPr>
                <w:rtl w:val="0"/>
              </w:rPr>
              <w:t xml:space="preserve"> punkts paredz "</w:t>
            </w:r>
            <w:r w:rsidR="00000000" w:rsidRPr="00000000" w:rsidDel="00000000">
              <w:rPr>
                <w:i w:val="1"/>
                <w:rtl w:val="0"/>
              </w:rPr>
              <w:t xml:space="preserve">likumā noteiktajā kārtībā liegt [regulas] 32. panta 1. d) un e) apakšpunktā m</w:t>
            </w:r>
            <w:r w:rsidR="00000000" w:rsidRPr="00000000" w:rsidDel="00000000">
              <w:rPr>
                <w:i w:val="1"/>
                <w:u w:val="single"/>
                <w:rtl w:val="0"/>
              </w:rPr>
              <w:t xml:space="preserve">inētajai personai un, iestājoties kādam no attiecīgajās normās norādītajiem gadījumiem (turpmāk – neaizsargāta persona)</w:t>
            </w:r>
            <w:r w:rsidR="00000000" w:rsidRPr="00000000" w:rsidDel="00000000">
              <w:rPr>
                <w:i w:val="1"/>
                <w:rtl w:val="0"/>
              </w:rPr>
              <w:t xml:space="preserve">, izceļot no Latvijas Republikas, lai draudu novēršanas nolūkā uz laiku to aizsargātu</w:t>
            </w:r>
            <w:r w:rsidR="00000000" w:rsidRPr="00000000" w:rsidDel="00000000">
              <w:rPr>
                <w:rtl w:val="0"/>
              </w:rPr>
              <w:t xml:space="preserve">". Norādām, ka minētā redakcija vairs nav skaidra, tai skaitā vairs nav saprotams, kas uzskatāmas par neaizsargātām personām un kādos gadījumos var liegt personām izceļot no Latvijas. Aicinām normu precizēt, atstājot to sākotnējā redakcijā.  Gadījumā, ja normā nepieciešams likt uzsvaru uz apdraudējumu, kura gadījumā var noteikt izceļošanas aizliegumu, lūdzam normu tiesiskās sakidrības nolūkā precizēt (sk. </w:t>
            </w:r>
            <w:r w:rsidR="00000000" w:rsidRPr="00000000" w:rsidDel="00000000">
              <w:rPr>
                <w:u w:val="single"/>
                <w:rtl w:val="0"/>
              </w:rPr>
              <w:t xml:space="preserve">piemēru </w:t>
            </w:r>
            <w:r w:rsidR="00000000" w:rsidRPr="00000000" w:rsidDel="00000000">
              <w:rPr>
                <w:rtl w:val="0"/>
              </w:rPr>
              <w:t xml:space="preserve">piedāvātajai redakcija). Tomēr vēršam uzmanību, ka nav atbalstāma regulas normu pārrakstīšana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noteiktajā kārtībā liegt </w:t>
            </w:r>
            <w:r w:rsidR="00000000" w:rsidRPr="00000000" w:rsidDel="00000000">
              <w:rPr>
                <w:i w:val="1"/>
                <w:rtl w:val="0"/>
              </w:rPr>
              <w:t xml:space="preserve">Eiropas Parlamenta un Padomes 2018. gada 28. novembra regulas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w:t>
            </w:r>
            <w:r w:rsidR="00000000" w:rsidRPr="00000000" w:rsidDel="00000000">
              <w:rPr>
                <w:rtl w:val="0"/>
              </w:rPr>
              <w:t xml:space="preserve"> (turpmāk – regula 2018/1862) </w:t>
            </w:r>
            <w:r w:rsidR="00000000" w:rsidRPr="00000000" w:rsidDel="00000000">
              <w:rPr>
                <w:b w:val="1"/>
                <w:rtl w:val="0"/>
              </w:rPr>
              <w:t xml:space="preserve">3</w:t>
            </w:r>
            <w:r w:rsidR="00000000" w:rsidRPr="00000000" w:rsidDel="00000000">
              <w:rPr>
                <w:rtl w:val="0"/>
              </w:rPr>
              <w:t xml:space="preserve">2. panta 1. </w:t>
            </w:r>
            <w:r w:rsidR="00000000" w:rsidRPr="00000000" w:rsidDel="00000000">
              <w:rPr>
                <w:b w:val="1"/>
                <w:rtl w:val="0"/>
              </w:rPr>
              <w:t xml:space="preserve">punkta </w:t>
            </w:r>
            <w:r w:rsidR="00000000" w:rsidRPr="00000000" w:rsidDel="00000000">
              <w:rPr>
                <w:rtl w:val="0"/>
              </w:rPr>
              <w:t xml:space="preserve">d) un e) apakšpunktā minētajai personai  (turpmāk – neaizsargāta persona)</w:t>
            </w:r>
            <w:r w:rsidR="00000000" w:rsidRPr="00000000" w:rsidDel="00000000">
              <w:rPr>
                <w:b w:val="1"/>
                <w:rtl w:val="0"/>
              </w:rPr>
              <w:t xml:space="preserve"> </w:t>
            </w:r>
            <w:r w:rsidR="00000000" w:rsidRPr="00000000" w:rsidDel="00000000">
              <w:rPr>
                <w:rtl w:val="0"/>
              </w:rPr>
              <w:t xml:space="preserve">izceļot no Latvijas Republikas, lai </w:t>
            </w:r>
            <w:r w:rsidR="00000000" w:rsidRPr="00000000" w:rsidDel="00000000">
              <w:rPr>
                <w:b w:val="1"/>
                <w:rtl w:val="0"/>
              </w:rPr>
              <w:t xml:space="preserve">regulas 2018/1862) 32. panta 1. punkta d) un e) apakšpunktā minēto draudu novēršanas nolūkā</w:t>
            </w:r>
            <w:r w:rsidR="00000000" w:rsidRPr="00000000" w:rsidDel="00000000">
              <w:rPr>
                <w:rtl w:val="0"/>
              </w:rPr>
              <w:t xml:space="preserve"> personu uz laiku aizsargātu"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aizgādība un aizgādnība ir dažādi tiesību institūti un aizgādības noteikumus nepiemēro aizgādnībai. Līdz ar to lūdzam anotācijā </w:t>
            </w:r>
            <w:r w:rsidR="00000000" w:rsidRPr="00000000" w:rsidDel="00000000">
              <w:rPr>
                <w:b w:val="1"/>
                <w:rtl w:val="0"/>
              </w:rPr>
              <w:t xml:space="preserve">svītrot šo teikumu</w:t>
            </w:r>
            <w:r w:rsidR="00000000" w:rsidRPr="00000000" w:rsidDel="00000000">
              <w:rPr>
                <w:rtl w:val="0"/>
              </w:rPr>
              <w:t xml:space="preserve">: “Minētais mutatis  mutandis ir attiecināms arī uz aizgādnības īstenošanu, izņemot persona nav ierobežojama personiskajās nemantiskajās tiesībās (CL 356.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atkārtoti uzmanību, ka vēl joprojām anotācijā nav atspoguļota citu valstu prakse un regulējums minētajā jautājumā. Tāpat arī norādītie Eiropas Cilvēktiesību tiesas nolēmumi īsti nav piemēroti, lai pamatotu tiesisko regulējumu (piemēram, tiesas nolēmums par nodokļu nenomaksas dēl ir īpaši analizēt). Vēršam uzmanību arī tam, ka pieeja mazaizsargātajām personām ir konceptuāli mainījusies kopš ir pieņemta ANO Konvencija par personu ar invaliditāti tiesībām 2006.gadā, tādēļ kritiski būtu vērtējams, vai Eiropas Cilvēktiesības tiesas 1993.gada nolēmums ir atbilstošs, lai pamatotu izvēlēto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atspoguļot citu valstu praksi un regulējumu minētajā jautājumā, kā arī norādīt tādu ECT praksi, kas ir jaunāka par 2006.gadu un kur personai tiesības tiek ierobežotas bez pašas personas izdarīto darbību vai bezdarbību pret sabiedrību, valsti vai citu 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21-TA-1780</w:t>
    </w:r>
    <w:r>
      <w:br/>
    </w:r>
    <w:r w:rsidR="00000000" w:rsidRPr="00000000" w:rsidDel="00000000">
      <w:rPr>
        <w:rtl w:val="0"/>
      </w:rPr>
      <w:t xml:space="preserve">Izdrukāts 03.07.2023.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21-TA-1780</w:t>
    </w:r>
    <w:r>
      <w:br/>
    </w:r>
    <w:r w:rsidR="00000000" w:rsidRPr="00000000" w:rsidDel="00000000">
      <w:rPr>
        <w:rtl w:val="0"/>
      </w:rPr>
      <w:t xml:space="preserve">Izdrukāts 03.07.2023.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Atzinumi_21-TA-1780.docx</dc:title>
</cp:coreProperties>
</file>

<file path=docProps/custom.xml><?xml version="1.0" encoding="utf-8"?>
<Properties xmlns="http://schemas.openxmlformats.org/officeDocument/2006/custom-properties" xmlns:vt="http://schemas.openxmlformats.org/officeDocument/2006/docPropsVTypes"/>
</file>