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2.4.apakšpunktā ietvertā pasākuma mērķa grupa atšķiras no MKN projektā anotācijā iekļautās informācijas (skat. anotācijas 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vienlaikus izvērtējot nepieciešamību iekļaut praktisku piemēru MKN anotācijā par to, kā inovācijas partnerības prasības var izpildīt lielais komersants, ņemot vērā MKN projekta 2.4.apakšpunkta nosacījumus lielajiem komersantiem par sadarbību ar MVU P&amp;I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sīkajiem (mikro), mazajiem, vidējiem un lielajiem komersantiem un publiskajām pētniecības institūcijām, kas sekmētu zināšanu tiešu pārnesi un kļūtu par katalizatoru ilgtermiņa, padziļinātākas sadarbības veidošanai starp abām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pasākuma mērķa formulējuma ir izņemta ārā ieguldījuma sniegšana RIS3 mērķus sasniegšanai. Vēršam uzmanību, ka atbilstoši Kohēzijas politikas programmas 2021- 2027 PO1 pasākumiem ir jānodrošina ieguldījums kopējo RIS3 mērķu sasniegšanā.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finansējums – 3 982 334 euro (t.sk. elastības finansējuma apjoms 628 114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plānotais finansējums neatbilst DPP plānotajam (finansējums ir norādīts mazāks), lūdzam iesūtīt aktuālo DPP, t.sk. atspoguļot attiecīgas izmaiņas intervences kodos. Papildus lūdzam skaidrot (t.sk. anotācijā), kur tiks izmantots plānotā finansējuma atlikums. Ne anotācijā, ne izziņā šis nav skaidrots, t.sk., attiecīgi nav korekti norādīts finansējums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 nodaļu ar jaunu punktu, nosakot, ka līdz ar projekta iesniegumu projekta iesniedzējs iesniedz tā izstrādātu kārtību, kādā tas nodrošinās komercdarbības atbalsta sniegšanu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17.</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prasību par to, ka FS pasākuma īstenošanas stratēģijas ietvaros iestrādā gala labuma guvēju atlases kārtību, kas saskaņota ar EM, lai nodrošinātu pasākumu labas pārvaldības praksi  un vienotu pieeju visām LIAA administrētajām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inovāciju vaučeru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pirmreizējā skaņošanā izteikto konceptuālo iebildumu attiecībā uz vaučeru atbalsta sniegšanu lielajiem komersantiem un atkārtoti lūdzam 17.9. apakšpunktā svītrot vārdus "un lielajiem". Atkāroti vēršam uzmanību, ka vaučeru koncepta pamatideja pēc būtības ir sniegt atbalstu MVU, piemēram to pirmajai sadarbībai ar zinātniskajām institūcijām, vienlaicīgi nodrošinot arī principu, ka ES fondu atbalsts tiek sniegts jomās, kuras nedarbojas tirgus. Savukārt lielajiem uzņēmumiem pašiem ir kapacitāte veikt maza apjoma pētījumus vai piesaistīt dizainerus (vaučers 5000 eur vērtībā). Lielajiem komersantiem to P&amp;A atbalstam ir pieejama praktisko pētījumu atbalsta programma, kā arī KC programma. Attiecīgus precizējumus lūdzam veikt MKN projekta 2.4.apakšpunktā un 5.punktā attiecībā uz pasākuma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viedās specializācijas stratēģijas (RIS3) jomā atbalstītajiem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pārskatīt šī apakšpunkta redakciju attiecībā par RIS3 datiem un noteikt par pienākumu finansējuma saņēmējam ne tikai sniegt atbildīgajai iestādei informāciju pēc tās pieprasījuma, bet noteikt par pienākumu uzkrāt informāciju par noteiktiem RIS3 rādītājiem, norādot konkrētus rādītājus. Atgādinām, ka RIS3 rādītāju veidi iekļauti apkopojumā, kas patlaban tiek skaņots EM un IZM starpā, un vēlākā posmā tiks iestrādāti KPVIS kā RIS3 monitoringa rādītāji. Vēršam uzmanību, ka uz tehnoloģiju pārneses pasākumu attiecas t.sk. RIS3 rādītāji, kas uzkaita radīto intelektuālā īpašuma objektu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Aktivitātes mērķa grupa ir komersanti atbilstoši šo noteikumu </w:t>
            </w:r>
            <w:r w:rsidR="00000000" w:rsidRPr="00000000" w:rsidDel="00000000">
              <w:rPr>
                <w:rtl w:val="0"/>
              </w:rPr>
              <w:t xml:space="preserve">2.4.</w:t>
            </w:r>
            <w:r w:rsidR="00000000" w:rsidRPr="00000000" w:rsidDel="00000000">
              <w:rPr>
                <w:rtl w:val="0"/>
              </w:rPr>
              <w:t xml:space="preserve"> apakšpunktā minētajiem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noteiktā mērķa grupa neatbilst pasākuma sākotnējam konceptam, kas atrunāts arī Kohēzijas politikas programmas 2021-2027 (79) paragrāfa ietvaros, nodalot,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komercializācijas atbalsts tiek sniegts PO pētījumu rezultātu komercializēšanai (šobrīd netiek iekļauts MKN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vaučeru atbalsts- </w:t>
            </w:r>
            <w:r w:rsidR="00000000" w:rsidRPr="00000000" w:rsidDel="00000000">
              <w:rPr>
                <w:u w:val="single"/>
                <w:rtl w:val="0"/>
              </w:rPr>
              <w:t xml:space="preserve">MVU saiknes veidošanai ar publiskajām pētniecības institūcijām, kas, pirmkārt, sekmētu zināšanu tiešu pārnesi un, otrkārt, kļūtu par katalizatoru ilgtermiņa, padziļinātākas sadarbības veidošanai starp abām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augsti kvalificētu darbinieku piesaistei un ārējo tirgu piesaistei-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MKN redakcija paredz komercializācijas atbalstu visiem komersantiem, t.sk. lielajiem, nemērķējot atbalstu noteiktām komersantu grupām atbilstoši atbalsta specifikai, pašreizējā MKN projekta IV. nodaļas redakcijā veidojas savstarpēji konkurējošas atbalsta programmas ar praktisko pētījumu prpgrammu, kompetences centru atbalsta programmu programmu (abās atbalsts pētījumu veikšanai) un MVU atbalsta programmu (atbalsts ārējo tirgu piesaistei). Lūdzam veikt atbilstošus precizējumus gan šajā MKN projekta punktā, gan attiecībā uz pasākuma mērķa grupu (MKN projekta 2.4.apakšpunkts un 5.punkts), lai nodrōšinātu atbilstību Kohēzijas politikas programmā 2021-2027 noteiktajam par plānoto tehnoloģiju pārneses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organizēt sarunu par šo jautājumu, pieaicinot arī IZM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arī pie MKN projekta 30.punkta. Tāpat vēršam uzmanību, ka šī punkta pašreizēja redakcija nenodrošina demarkāciju ar 1.2.3.1pasākumu (MVU atbalsts),paredzot tās pašas atbalstāmas darbības, kas nav akceptējami. Tāpat abilstoši Kohezijas politikas programmas  2021-2027 79.paragrāfā noteiktajam, 2014.-2020. gada plānošanas perioda tehnoloģiju pārneses programmas koncepts, tiek turpināts arī 2021-2027 periodā, kas tehnoloģiju pārneses programmas ietvaros paredzēja </w:t>
            </w:r>
            <w:r w:rsidR="00000000" w:rsidRPr="00000000" w:rsidDel="00000000">
              <w:rPr>
                <w:u w:val="single"/>
                <w:rtl w:val="0"/>
              </w:rPr>
              <w:t xml:space="preserve">jaunuzņēmumu dalību s</w:t>
            </w:r>
            <w:r w:rsidR="00000000" w:rsidRPr="00000000" w:rsidDel="00000000">
              <w:rPr>
                <w:rtl w:val="0"/>
              </w:rPr>
              <w:t xml:space="preserve">tarptautiskajās izstādēs. Turklāt lielie uzņēmumi 31.11. un 31.7.apakšpunkta gadījumā nenodrošina nosacījuma par sadarbību ar MVU P&amp;A darbībās izpildi un šāda veida atbalsts tiem nevar tikt paredzēts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31.8.</w:t>
            </w:r>
            <w:r w:rsidR="00000000" w:rsidRPr="00000000" w:rsidDel="00000000">
              <w:rPr>
                <w:rtl w:val="0"/>
              </w:rPr>
              <w:t xml:space="preserve">, </w:t>
            </w:r>
            <w:r w:rsidR="00000000" w:rsidRPr="00000000" w:rsidDel="00000000">
              <w:rPr>
                <w:rtl w:val="0"/>
              </w:rPr>
              <w:t xml:space="preserve">31.9.</w:t>
            </w:r>
            <w:r w:rsidR="00000000" w:rsidRPr="00000000" w:rsidDel="00000000">
              <w:rPr>
                <w:rtl w:val="0"/>
              </w:rPr>
              <w:t xml:space="preserve">, </w:t>
            </w:r>
            <w:r w:rsidR="00000000" w:rsidRPr="00000000" w:rsidDel="00000000">
              <w:rPr>
                <w:rtl w:val="0"/>
              </w:rPr>
              <w:t xml:space="preserve">31.10.</w:t>
            </w:r>
            <w:r w:rsidR="00000000" w:rsidRPr="00000000" w:rsidDel="00000000">
              <w:rPr>
                <w:rtl w:val="0"/>
              </w:rPr>
              <w:t xml:space="preserve">,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 minētās darbības pētniecības komercializācijas projekta ietvaros komersants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no šīs redakcijas izriet, ka v</w:t>
            </w:r>
            <w:r w:rsidR="00000000" w:rsidRPr="00000000" w:rsidDel="00000000">
              <w:rPr>
                <w:u w:val="single"/>
                <w:rtl w:val="0"/>
              </w:rPr>
              <w:t xml:space="preserve">ar arī neīstenot sadarbībā ar pētniecības organizācijām</w:t>
            </w:r>
            <w:r w:rsidR="00000000" w:rsidRPr="00000000" w:rsidDel="00000000">
              <w:rPr>
                <w:rtl w:val="0"/>
              </w:rPr>
              <w:t xml:space="preserve">. Šīs ir konceptuālas izmaiņas, kas EM būtu jāskaidro anotācijā, aprakstot visas iespējas, kā arī jāpalūdz IZM viedoklis vai arī, ja ir bijis domāts, ka darbības pētniecības komercializācijas projekta ietvaros</w:t>
            </w:r>
            <w:r w:rsidR="00000000" w:rsidRPr="00000000" w:rsidDel="00000000">
              <w:rPr>
                <w:u w:val="single"/>
                <w:rtl w:val="0"/>
              </w:rPr>
              <w:t xml:space="preserve"> īstenojamas efektīvā sadarbībā </w:t>
            </w:r>
            <w:r w:rsidR="00000000" w:rsidRPr="00000000" w:rsidDel="00000000">
              <w:rPr>
                <w:rtl w:val="0"/>
              </w:rPr>
              <w:t xml:space="preserve">ar pētniecības organizācijām, lūdzam veikt atbilstošus redakcionālus precizējumus normas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inovāciju vaučera projektu izmaksas ir attiecināmas, ja šo darbību rezultāti (auditējamās vērtības) noslēguma pārskata iesniegšanas dienā ir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šajā kontekstā ir saprotams ar noslēguma pārskatu un kas šādu pārskatu 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Šajos noteikumos minētās izmaksas Finansējuma saņēmējam ir attiecināmas no noteikumu spēkā 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izdevumu attiecināmības laiku arī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tas atbilst grūtībās nonākuša komersanta statusam saskaņā ar Regulas Nr. 651/2014 2. panta 18. punktu. Prasība attiecas uz komersantu, ja finansējums tiek piešķirts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Regulu Nr.651/2014, pārbaude, vai atbalsta pretendents nav nonācis finansiālās grūtībās, ir jāvērtē uz atbalsta piešķiršanas brīdi, aicinām normu precizēt. Papildus lūdzam papildināt noteikumu projektu ar normu, ka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Aicinām precizēt MK noteikumu projekta 71.3.punktu un ar atbilstošu skaidrojumu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Finansējumu šo noteikumu </w:t>
            </w:r>
            <w:r w:rsidR="00000000" w:rsidRPr="00000000" w:rsidDel="00000000">
              <w:rPr>
                <w:rtl w:val="0"/>
              </w:rPr>
              <w:t xml:space="preserve">31.9.</w:t>
            </w:r>
            <w:r w:rsidR="00000000" w:rsidRPr="00000000" w:rsidDel="00000000">
              <w:rPr>
                <w:rtl w:val="0"/>
              </w:rPr>
              <w:t xml:space="preserve"> apakšpunktā minētajām darbībām sniedz atbilstoši Regulas Nr. 651/2014 18. panta 3. punktā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projekta 94.punktu ar nosacījumu, ka finansējumu šo noteikumu 31.9.apakšpunktā minētajām darbībām sniedz atbilstoši Regulas Nr.651/2014 18.panta 3.punktā noteiktajām attiecināmajām izmaksām, ievērojot Regulas Nr.651/2014 18.panta 4.punktā noteikto ierobežojumu.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lēmumu par atbalsta piešķiršanu saskaņā ar Regulu Nr. 651/2014 var pieņemt līdz 2026. gada 31. decembrim vai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MKN projekta punktu, kurā ir iekļauta norāde par atbalsta piešķiršanu saskaņā ar Regulu Nr.651/2014 vienā no šādiem variantiem - norādot konkrētu datumu - 2027.gada 30.jūnijs (ievērojot Regulas Nr.651/2014 58.panta 4.punkta un 59.panta nosacījumus), vai arī norādot atsauci uz konkrētiem Regulas Nr.651/2014 pantiem, šajā gadījumā - Komisijas Regulas Nr.651/2014 58.panta 4.punktu un 59.pantu.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9.punktā "Finansējuma saņēmēja pienākumi, kas saistīti ar komercdarbības atbalsta administrēšanu un izsniegšanu" minēto, vēršam uzmanību, ka gala labuma guvēju atlases kārtībai ir jābūt izstrādātai un saskaņotai ar EM līdz finansējuma saņēmēja projekta iesnieguma iesniegšanai sadarbības iestādē, un tā ir vērtējama finansējuma saņēmēja pasākuma īstenošanas stratēģijas ietvaros, vienlaicīgi nodrošinot gan labu pārvaldības praksi, gan vienotu pieeju daudzpakāpju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1.3.sadaļas 5.punktā  "Atbalsta pasākumu nodrošināšana komersantiem jaunu produktu izstrādei un komercializācijai",  iekļautā informācija par aktivitātes mērķa grupu , </w:t>
            </w:r>
            <w:r w:rsidR="00000000" w:rsidRPr="00000000" w:rsidDel="00000000">
              <w:rPr>
                <w:u w:val="single"/>
                <w:rtl w:val="0"/>
              </w:rPr>
              <w:t xml:space="preserve">kas ir MVU</w:t>
            </w:r>
            <w:r w:rsidR="00000000" w:rsidRPr="00000000" w:rsidDel="00000000">
              <w:rPr>
                <w:rtl w:val="0"/>
              </w:rPr>
              <w:t xml:space="preserve">, atšķiras no MKN 2.4.apakšpunktā un 5.punktā noteiktās mēŗka grupas. Lūdzam attiecīgi precizēt, nodrošinot saskaņotu inofrmāciju gan MKN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1.3.sadaļas apakšsadaļas "Risinājuma apraksts" pēdējā rindkopā, kur minētas, ka Ekonomikas ministrija šobrīd strādā pie grozījumiem Zinātniskās darbības likumā [..], iekļaut informāciju par iepriekš noteikto un plānoto finansējuma sadalījumu pasākuma ietvaros -30 % pētniecības organizācijām un 70 % komersantiem no šī pasākuma īstenošanai paredzētā finansējuma, atskaitot MK noteikumu 17. punktā finansējuma saņēmējam paredzēto finansējumu. Neskatoties uz to, ka atbalsts PO pētījumu rezultātu komercializēšanai tiks iegrozīts MKN vēlāk, tas nenozīmē, ka ta iezīmētais finansējums bez pamatota iemesla un bez saskaņošanas ar IZM var tikt novirzīts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sniegta informācija par projekta ietvaros plānotajām 30 amata vietām Latvijas Investīciju un attīstības aģentūrā, attiecīgi lūdzam aizpildīt anotācijas 3.sadaļas 7.punktu, sniedzot detalizētu informāciju par projekta ietvaros paredzētajām amata vietām, norādot finansējuma apmēru un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 ar punktiem,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termiņu, līdz kuram EM sadarbībā ar IZM, TM un FM ir jāizstrādā ZDL grozījumi, kas atļauj publiskajām pētniecības organizācijām veikt to pētniecības rezultātu komercializāciju un nosaka deleģējumu PO pētniecības rezultātu komercializācijas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EM, pēc ZDL grozījumu apstiprināšanas, noteiktā termiņā iestrādāt TP MKN normas par atbalstu pētniecības organizāciju pētniecības rezultātu komercializācijai, šim mērķim novirzot 30 % no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tiesību normu, kas paredz, ka finansējuma saņēmējs veic izmaksu un ieguvumu analīzi. Atbilstoši lūdzam papildināt arī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1.8.apakšpunktu ar vārdiem "un kārtību" aiz vārda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ZDL grozījumu redakcijām jāņem vērā šajā MKN projektā lietoto terminu redakcijas, lai izvairītos no situācijas, ka MKN projektā tiek iekļauti termini, kas neatbilst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kuras darbības mērķis ir sekmēt Latvijas komersantu konkurētspēju un eksportspēju starptautiskajos tirgos, veicināt biznesa ideju attīstību un komersantu rašanos, zināšanu ietilpīgu preču un pakalpojumu attīstību, komercializāciju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noteikto par finansējuma saņēmēju un, lai tiesību normas būtu nepārprotami skaidras un nedublētos, aicinām svītrot noteikumu projekta 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komercializācijas piedāvājums – konkrēta izstrādātā produkta vai tehnoloģijas apraksts (satur informāciju par šīs tehnoloģijas noieta tirgu un tirgus apmēru, produkta vai tehnoloģijas aizsardzību, rūpnieciskā īpašuma aizsardzības statusu, produkta vai tehnoloģijas priekšrocībām starp citiem konkurējošiem produktiem vai tehnoloģijām, mārketinga stratēģiju), kura mērķis ir sniegt pietiekamu informāciju potenciālajam licenciātam vai investoram, lai tas varētu pieņemt pozitīvu lēmumu par tehnoloģiju tiesību vai lietošanas tiesību iegādi vai investīcijām piedāvātajā produktā vai tehnoloģijā;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kā arī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1. punkta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tiek īstenots Latvijas teritorijā.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komentārs: Aicinām papildināt ar vārdu "Republikas" pēc vārda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informācijas un publicitātes pasākumu nodrošināšana, ievērojot nediskriminācijas principus (informācijas un publicitātes pasākumu nodrošināšana ir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17.3. apakšpunktā vārdus "informācijas un publicitātes" aizstāt ar vārdiem "komunikācijas un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21.3. apakšpunktā vārdus "informācijas un publicitātes" aizstāt ar vārdiem "komunikācijas un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Lēmumu par finansējuma piešķiršanu finansējuma saņēmējs pieņem saskaņā ar finansējuma saņēmēja izstrādātu finansējuma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tiesību normas piemērošanu, lūdzam precizēt un papildināt punktu, uz ko attieksies lēmums par finansējuma piešķiršanu un kuram tiks piešķirts šajā punktā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63. punktā vārdus "informācijas un publicitātes pasākumus" aizstāt ar vārdiem "komunikācijas un vizuālās identitātes prasību nodrošināšanas nosacījumu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pasākuma īstenošanai piemērojamās vadošās un atbildīgās iestādes sagatavotās 2021.-2027.gada plānošanas perioda vienkāršoto izmaksu metodikas,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precīzāku regulējuma būtību, aicinām pirms skaitļa "2021." papildināt ar vārdiem Eiropas Savienības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pasākuma īstenošanai piemērojamās vadošās un atbildīgās iestādes sagatavotās 2021.-2027.gada plānošanas perioda vienkāršoto izmaksu metodikas,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redakciju MK noteikumu projektā un anotācijā, ka vienkāršoto izmaksu metodikas piemērojamas viena mēneša laikā no šo noteikumu spēkā stāšanās, piemēram, nosakot, ka metodikas piemērojamas ar to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 izstrādātās metodikas ir spēkā esošas un tās ir piemērojamas, t.sk. šo likmju piemērošanas nosacījumi detalizētāk atrunāti pašās metodikās.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tas šā pasākuma ietvaros sniedzis nepatiesu informāciju vai tīši maldinājis par Eiropas Savienības struktūrfondu un Kohēzijas fonda līdzfinansēto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71.2. apakšpunktu un aizstāt vārdus "Eiropas Savienības struktūrfondu" ar vārdiem " Eiropas Savienības fondu", lai nodrošinātu atbilstību Eiropas Savienības fondu 2021. -2027. gada plānošanas periodā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85.punktu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tiek pārkāptas šajos noteikumos minētās komercdarbības atbalsta kontroles normas, tostarp nosacījumi,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105.punktu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priekšlikumus, kas izteikti pie MK noteikumu projekta, aicinām atbilstoši precizēt arī anotācijā vārdus " informācijas un publicitātes pasākumu.."  aizstājot ar  vārdiem "komunikācijas un vizuālās identitātes prasību nodrošināšanas nosacījumu.."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anotācijas 1.3.sadaļas apakšsadaļas "Risinājuma apraksts" pēdējā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w:t>
            </w:r>
            <w:r w:rsidR="00000000" w:rsidRPr="00000000" w:rsidDel="00000000">
              <w:rPr>
                <w:u w:val="single"/>
                <w:rtl w:val="0"/>
              </w:rPr>
              <w:t xml:space="preserve">sadarbībā ar IZM, FM, TM</w:t>
            </w:r>
            <w:r w:rsidR="00000000" w:rsidRPr="00000000" w:rsidDel="00000000">
              <w:rPr>
                <w:rtl w:val="0"/>
              </w:rPr>
              <w:t xml:space="preserve"> šobrīd strādā pie grozījumiem Zinātniskās darbības likumā, attiecīgi, kad tie stāsies spēkā, tiks nodrošināts atbalsts pētniecības organizāciju pētniecības rezultātu komercializācijas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projektā un anotācijā ietvertās redakcijas attiecībā uz personālu, kam attiecināma ārvalstu komandējuma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"Vienkāršoto izmaksu metodikas" ietverto informāciju par personāla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teikumu, kur minēts, ka personāla izmaksas noteiktas, ņemot vērā LIAA Eiropas Savienības struktūrfondu un Kohēzijas fonda 2014.—2020. gada plānošanas perioda īstenoto programmu ietverto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 personāla vienotās likmes apmērs noteikts 19.punktā (6.rindkopa);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informāciju par izmaksu un funkciju nošķiršanu no citiem projekta ietvaros iepirktiem pakalpojumiem norādīt arī šajā sadaļā, jo iepazīstoties ar anotācijā iekļauto informāciju, nav gūstama pārliecība, ka nepieciešamā informācija ir ietverta pilnā apjomā (īpaši par funkciju un izmaksu nosšķiršanu ar MK noteikumu projekta 23.1. un 23.4. apakšpunktā minētajiem konsultantiem/ konsultāciju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34.punktā minētā vienkāršoto izmaksu metodika ir vienīgā, ko šajā pasākumā paredzēts izstrādāt, tad būtu jāvērtē anotācijas 12.sadaļas "Vienkāršoto izmaksu metodikas" pirmā rindkopa, no kuras pirmšķietami secināms, ka visām izmaksām, kas saistītas ar finanšu atbalstu gala labuma guvējiem tiks izstrādātas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Regulas nosacījums uz šo pasākumu nav attiecināms, aicinām anotācijā ietvert skaidrojumu, ka šajā pasākumā neizpildās obligāta Regulas Nr. 2021/1060 53.panta 2.punkta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ka </w:t>
            </w:r>
            <w:r w:rsidR="00000000" w:rsidRPr="00000000" w:rsidDel="00000000">
              <w:rPr>
                <w:i w:val="1"/>
                <w:rtl w:val="0"/>
              </w:rPr>
              <w:t xml:space="preserve">"finansējuma saņēmējs lēmumu par de minimis atbalsta piešķiršanu saskaņā ar Komisijas regulu Nr. 1407/2013 var pieņemt līdz šīs regulas darbības beigām", </w:t>
            </w:r>
            <w:r w:rsidR="00000000" w:rsidRPr="00000000" w:rsidDel="00000000">
              <w:rPr>
                <w:rtl w:val="0"/>
              </w:rPr>
              <w:t xml:space="preserve">to papildinot ar konkrētām atsaucēm uz Komisijas Regulas Nr.1407/2013 punktiem un apakšpunktiem atbilstoši tam, kā tas ir noteikts MKN projekta 80.punktā.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b w:val="1"/>
                <w:rtl w:val="0"/>
              </w:rPr>
              <w:t xml:space="preserve">Risinājuma apraksts</w:t>
            </w:r>
            <w:r w:rsidR="00000000" w:rsidRPr="00000000" w:rsidDel="00000000">
              <w:rPr>
                <w:rtl w:val="0"/>
              </w:rPr>
              <w:t xml:space="preserve"> svītrot dublējošo rindkopu "LIAA, lai nodrošinātu izmaksu demarkāciju ar citām programmām, kurās arī plānota LIAA administratīvo izmaksu segšana, darbiniekus nodarbināsi amata apraksta kontekstā un slodzes noteiktas pēc darba laika uzskaites, iekšējiem rīkojumiem un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28.08.2023.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28.08.2023.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