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Ainavu politikas ieviešanas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(Pārskats par publiskajā apspriešanā iesniegtajiem viedokļiem)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esošo plāna projekta 5.tabulas “*” atsauci ar norādi, ka “Pasākuma īstenošanai nav iespējams atsevišķi izdalīt finansējuma apmēru un norādīt valsts pamatbudžeta programmu/apakšprogrammu.”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projekta 5.tabulu atbilstoši Ministru kabineta 2014.gada 2.decembra noteikumu Nr.737 “Attīstības plānošanas dokumentu izstrādes un ietekmes izvērtēšanas noteikumi” 2. pielikuma IV sadaļai pievienojot  kolonnu “Turpmākajā laikposmā līdz pasākuma pabeigšanai (ja pasākuma īstenošana ir terminēta)” un kolonnu  “Pasākuma īstenošanas gads (ja pasākuma īstenošana ir terminēta)” vai arī pievienot skaidrojumu, kādēļ šādas ailes nav iekļaujamas šajā plāna projekta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04.12.2023.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04.12.2023.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Atzinumi_23-TA-2006.docx</dc:title>
</cp:coreProperties>
</file>

<file path=docProps/custom.xml><?xml version="1.0" encoding="utf-8"?>
<Properties xmlns="http://schemas.openxmlformats.org/officeDocument/2006/custom-properties" xmlns:vt="http://schemas.openxmlformats.org/officeDocument/2006/docPropsVTypes"/>
</file>