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1.3.1.punktā paredzēto pasākumu "Noteikt par primāro algas izmaksas veidu bezskaidras naudas maksājumu", vēršam uzmanību uz to, ka šāds pasākums pēc būtības paredz likumīgā maksāšanas līdzekļa (euro banknošu un monētu) lietošanas ierobežojumu (gadījumos, kad darba devējam un darbiniekam neizdotos vienoties par darba samaksu skaidrā naudā), par kuru pēc attiecīgo Darba likuma grozījumu projekta sagatavošanas būtu nepieciešams konsultēties ar Eiropas Centrālo banku atbilstoši Padomes 1998. gada 29. jūnija lēmumā 98/415/EK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Blūms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10.08.2023.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10.08.2023.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