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16. jūnija noteikumos Nr. 383 "Noteikumi par garantijām saimnieciskās darbības veicējiem konkurētspējas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izvērtēt projekta atbilstību Latvijas Republikas starptautiskajām saistībām un aizpildīt anotācijas 5.4. sadaļas 1. tabulu ar atbilstošu informāciju par konkrēto Eiropas Savienības tiesību aktu prasību ieviešanu Ministru kabineta 2020. gada 16. jūnija noteikumos Nr. 383 "Noteikumi par garantijām saimnieciskās darbības veicējiem konkurētspējas uzlabošanai" (turpmāk - noteikumi). Vēršam uzmanību, ka noteikumos ieviestas Eiropas Savienības regulu prasības, tostarp projektā ir ietvertas atsauces uz regulu normām. Norādām, ka, lai arī regulas ir tieši piemērojamas un tās atšķirībā no direktīvām, nav jāpārņem nacionālajos tiesību aktos, dalībvalstij ir jānodrošina regulu tieša piemērošana katrā dalībvalstī un tam var būt nepieciešami īpaši regulas ieviešanas pasākumi (piemēram, lai noteiktu kompetento iestādi, noteiktu administratīvo procedūru regulā noteiktu pasākumu īstenošanai u.c.). Dalībvalstij ir arī pienākums nodrošināt tādu normatīvo bāzi, lai regulas būtu iespējams tieši piemērot, tostarp, ja vajadzīgs, izstrādājot jaunus normatīvos aktus vai veicot grozījumus jau esošajos normatīvajos aktos. Citstarp arī atsauču uz regulu un tās vienībām ietveršana normatīvajos aktos pēc būtības ir regulas prasību ieviešana, jo tādējādi tiek nodrošināta regulas prasību praktiskā piemērošana. Attiecīgi, ņemot vērā minēto, lūdzam anotācijas 5. sadaļā atspoguļot visu no projekta izrietošo Eiropas Savienības tiesību aktu un to vienību ieviešanu. Piemēram, projekts papildināts ar jaunu 14. un 15. punktu, no kuriem izriet vairāku Komisijas 2014. gada 17. jūnija Regulas (ES) Nr. 651/2014, ar ko noteiktas atbalsta kategorijas atzīst par saderīgām ar iekšējo tirgu, piemērojot Līguma 107. un 108. pantu (turpmāk - regula 651/2014) vienību ieviešana ar atsauci, tāpat, arī bez tās, piemēram, projekta 14. punkts (noteikumu 12.</w:t>
            </w:r>
            <w:r w:rsidR="00000000" w:rsidRPr="00000000" w:rsidDel="00000000">
              <w:rPr>
                <w:vertAlign w:val="superscript"/>
                <w:rtl w:val="0"/>
              </w:rPr>
              <w:t xml:space="preserve">1</w:t>
            </w:r>
            <w:r w:rsidR="00000000" w:rsidRPr="00000000" w:rsidDel="00000000">
              <w:rPr>
                <w:rtl w:val="0"/>
              </w:rPr>
              <w:t xml:space="preserve">2. apakšpunkts) un regulas 651/2014 14. panta sestais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starptautiskajām tiesību normām, kuras noteikumos ieviestas jau iepriekš, ja plānotie grozījumi skar noteikumu vienību, kurā tā ieviesta, lūdzam izvērtēt, vai konkrētas starptautiskās tiesību normas joprojām ir aktuālas, attiecināmas un ieviestas. Pamatojoties uz veikto izvērtējumu, iesakām papildināt anotācijas 5.sadaļu ar norādēm uz šīm Eiropas Savienības tiesību normām vai vispārīgi norādīt, ka līdz šim ieviestās, no Eiropas Savienības tiesību normām izrietošās prasības netiek mainītas vai ietekmētas.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4. nemateriālie aktīvi atbilst Komisijas regulas Nr. 651/2014 14. panta 8. punktā minētajiem nosacījumiem. Lielajiem komersantiem nemateriālos aktīvus var finansēt līdz 50 % no sākotnējo ieguldījumu kopējām attiecināmajām ieguldījumu izmaksām. Sīkajiem (mikro), mazajiem vai vidējiem komersantiem nemateriālos aktīvus var finansēt 100 %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projektā veiktos precizējumus un veikt tajā visus nepieciešamos labojumus, ņemot vērā,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Komisija pret Itāliju,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tomēr projektā ir nepieciešams pārrakstīt regulā noteikto, lūdzam regulas normas pārrakstīt identiski, jo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Tomēr norādām, ka šis gadījums attaisnojams vienīgi ar indivīdu interesēm saņemt tiem adresētu saskaņotu un labi uztveramu tiesību aktu, un regulu tiešā piemērojamība nepieļauj citus izņēmumus, ko attiecīgi lūdzam 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attiecināms, piemēram, uz projekta 14. punktu (noteikumu 12.</w:t>
            </w:r>
            <w:r w:rsidR="00000000" w:rsidRPr="00000000" w:rsidDel="00000000">
              <w:rPr>
                <w:vertAlign w:val="superscript"/>
                <w:rtl w:val="0"/>
              </w:rPr>
              <w:t xml:space="preserve">1</w:t>
            </w:r>
            <w:r w:rsidR="00000000" w:rsidRPr="00000000" w:rsidDel="00000000">
              <w:rPr>
                <w:rtl w:val="0"/>
              </w:rPr>
              <w:t xml:space="preserve"> 4. apakšpunkts), kas daļēji pārraksta Regulas 651/2014 14. panta astotā punkta 2. daļu, projekta 14. punktu (noteikumu 12.</w:t>
            </w:r>
            <w:r w:rsidR="00000000" w:rsidRPr="00000000" w:rsidDel="00000000">
              <w:rPr>
                <w:vertAlign w:val="superscript"/>
                <w:rtl w:val="0"/>
              </w:rPr>
              <w:t xml:space="preserve">1</w:t>
            </w:r>
            <w:r w:rsidR="00000000" w:rsidRPr="00000000" w:rsidDel="00000000">
              <w:rPr>
                <w:rtl w:val="0"/>
              </w:rPr>
              <w:t xml:space="preserve"> 6. apakšpunkts), kas daļēji pārraksta Regulas 651/2014 14. panta piekto punktu vai projekta 38. punktu (noteikumu 31.</w:t>
            </w:r>
            <w:r w:rsidR="00000000" w:rsidRPr="00000000" w:rsidDel="00000000">
              <w:rPr>
                <w:vertAlign w:val="superscript"/>
                <w:rtl w:val="0"/>
              </w:rPr>
              <w:t xml:space="preserve">3</w:t>
            </w:r>
            <w:r w:rsidR="00000000" w:rsidRPr="00000000" w:rsidDel="00000000">
              <w:rPr>
                <w:rtl w:val="0"/>
              </w:rPr>
              <w:t xml:space="preserve"> punkts), kas daļēji pārraksta Regulas 651/2014 14. panta 14. punkta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anotācijas 1.3. apakšsadaļā sniegtos projekta skaidrojumus, nodrošinot tiesību normu adresātiem pilnīgu un korektu no tā izrietošo nosacījumu izpratni. Vēršam uzmanību, ka, piemēram, 8. punkts skaidrots vispārīgi, nenorādot uz ar to saistītajiem tiesību normas piemērošanas praktiskajiem apstākļiem, nepieciešamības pamatojumu. Savukārt, piemēram, projekta 14. punkts nav skaidrots vispār, kas ir būtiski projekta izpratnes nodrošināšanai, jo ar to noteikumos tiek ieviestas vairākas jaunas vienības un tiesību normu adresātiem ir jānodrošina to pilnīga un precīza izpratne.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Garantijas sniedz kā </w:t>
            </w:r>
            <w:r w:rsidR="00000000" w:rsidRPr="00000000" w:rsidDel="00000000">
              <w:rPr>
                <w:i w:val="1"/>
                <w:rtl w:val="0"/>
              </w:rPr>
              <w:t xml:space="preserve">de minimis</w:t>
            </w:r>
            <w:r w:rsidR="00000000" w:rsidRPr="00000000" w:rsidDel="00000000">
              <w:rPr>
                <w:rtl w:val="0"/>
              </w:rPr>
              <w:t xml:space="preserve"> atbalstu saskaņā ar Komisijas 2023. gada 13. decembra Regulu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w:t>
            </w:r>
            <w:r w:rsidR="00000000" w:rsidRPr="00000000" w:rsidDel="00000000">
              <w:rPr>
                <w:rtl w:val="0"/>
              </w:rPr>
              <w:t xml:space="preserve">2023/2831</w:t>
            </w:r>
            <w:r w:rsidR="00000000" w:rsidRPr="00000000" w:rsidDel="00000000">
              <w:rPr>
                <w:rtl w:val="0"/>
              </w:rPr>
              <w:t xml:space="preserve">) un kā atbalstu saskaņā ar Komisijas Regula (ES) Nr. 651/2014 ( 2014. gada 17. jūnijs ), ar ko noteiktas atbalsta kategorijas atzīst par saderīgām ar iekšējo tirgu, piemērojot Līguma 107. un 108. pantu ( turpmāk – Komisijas regula Nr. 561/2014).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3. punktu un ar to ieviesto atsauci uz Komisijas 2014. gada 17. jūnija Regulu (ES) Nr. 651/2014, ar ko noteiktas atbalsta kategorijas atzīst par saderīgām ar iekšējo tirgu, piemērojot Līguma 107. un 108.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Komisijas 2014. gada 17. jūnija Regulu (ES) Nr. 651/2014, ar ko noteiktas atbalsta kategorijas atzīst par saderīgām ar iekšējo tirgu, piemērojot Līguma 107. un 108. pantu (turpmāk - Komisijas regula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Garantijas sniedz kā de minimis atbalstu saskaņā ar Komisijas 2023. gada 13. decembra Regulu (ES) Nr. 2023/2831 par Līguma par Eiropas Savienības darbību 107. un 108. panta piemērošanu de minimis atbalstam (turpmāk – Komisijas regula Nr. 2023/2831) un kā atbalstu saskaņā ar Komisijas 2014. gada 17. jūnija Regulu (ES) Nr. 651/2014, ar ko noteiktas atbalsta kategorijas atzīst par saderīgām ar iekšējo tirgu, piemērojot Līguma 107. un 108. pantu (turpmāk - Komisijas regula Nr. 651/2014).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25-TA-400</w:t>
    </w:r>
    <w:r>
      <w:br/>
    </w:r>
    <w:r w:rsidR="00000000" w:rsidRPr="00000000" w:rsidDel="00000000">
      <w:rPr>
        <w:rtl w:val="0"/>
      </w:rPr>
      <w:t xml:space="preserve">Izdrukāts 12.06.2025.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25-TA-400</w:t>
    </w:r>
    <w:r>
      <w:br/>
    </w:r>
    <w:r w:rsidR="00000000" w:rsidRPr="00000000" w:rsidDel="00000000">
      <w:rPr>
        <w:rtl w:val="0"/>
      </w:rPr>
      <w:t xml:space="preserve">Izdrukāts 12.06.2025.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Atzinumi_25-TA-400.docx</dc:title>
</cp:coreProperties>
</file>

<file path=docProps/custom.xml><?xml version="1.0" encoding="utf-8"?>
<Properties xmlns="http://schemas.openxmlformats.org/officeDocument/2006/custom-properties" xmlns:vt="http://schemas.openxmlformats.org/officeDocument/2006/docPropsVTypes"/>
</file>