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atjaunot anotācijas 3.sadaļas iedaļā "Cita informācija" informāciju par to, ka būs nepieciešami papildu finanšu resursi risinājuma ieviešanai, kas aptver arī sistēmu savietošanu ar Eiropas vienoto piekļuves punktu. Šī informācija aizstāta ar norādi, ka atbildīgā iestāde konkrēto risinājumu ieviesīs esošo līdzekļu ietvaros. Pašlaik vēl nav pieņemts lēmums, kura būs atbildīgā iestāde konkrētās informācijas nodošanai Eiropas vienotajam piekļuves punktam, tomēr, ja tas būs Uzņēmumu reģistrs, tad būtu nepieciešami ne vien papildu finanšu līdzekļi sistēmu savietošanai, bet arī sistēmu pielāgošanai tā, lai konkrētā informācija tiktu nodota pareizā formātā. Papildus norādām, ka sistēmu savietošanai, izmantojot API, būs nepieciešami papildu finanšu līdzekļi neatkarīgi no tā, kura iestāde tiks noteikta par atbildīgo. Uzsveram, ka Uzņēmumu reģistram nepieciešamie līdzekļi risinājuma ieviešanai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3. sadaļas iedaļā "Cita informācija" atjaunot informāciju, kas bija iepriekšējā anotācijas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Aužele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iedaļā "Cita informācija" ir dzēsta informācija par to, ka būs nepieciešami papildu finanšu resursi risinājuma ieviešanai, kas aptver arī sistēmu savietošanu ar Eiropas vienoto piekļuves punktu. Šī informācija ir aizstāta ar norādi, ka atbildīgā iestāde konkrēto risinājumu ieviesīs esošo līdzekļu ietvaros. Pašlaik vēl nav pieņemts lēmums, kura būs atbildīgā iestāde konkrētās informācijas nodošanai Eiropas vienotajam piekļuves punktam. Likumprojekta 4. pantā paredzēts, ka Eiropas vienoto piekļuves punktu izveido saskaņā ar Eiropas Parlamenta un Padomes 2023. gada 13. decembra regulu (ES) Nr.2023/2859. Savukārt šīs regulas 5. panta 1. punkta e)apakšpunktā ir paredzēts, ka neatkarīgi no tā, kura iestāde būs nosakāma kā informācijas vākšanas struktūra, savietojums ar Eiropas vienoto piekļuves punktu būs jāvieto izmantojot API. Uzsveram, ka sistēmu savietošanai, izmantojot API, būs nepieciešami papildu finanšu līdzekļi neatkarīgi no tā, kura iestāde tiks noteikta par atbildīgo. Papildus norādāms, ka informācija Eiropas vienotajam piekļuves punktam ik gadu būtu jānodod par aptuveni 10 subjektiem, kas, salīdzinot ar nepieciešamajiem līdzekļiem veidojot savietojumu izmantojot API, nav uzskatāms par adekvātu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uzturam iepriekš izteikto iebildumu un lūdzam anotācijas 3. sadaļas iedaļā "Cita informācija" atjaunot informāciju, kas bija iepriekšējā anotācijas redakcijā, dzēst esošo redakciju, neaizstājot to ar jaunu informāciju, vai norādīt, ka konkrētais jautājums tiks risināts kopsakarā ar atbildīgās iestādes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5.4. sadaļas 1. tabulu attiecībā uz </w:t>
            </w:r>
            <w:r w:rsidR="00000000" w:rsidRPr="00000000" w:rsidDel="00000000">
              <w:rPr>
                <w:i w:val="1"/>
                <w:rtl w:val="0"/>
              </w:rPr>
              <w:t xml:space="preserve">Eiropas Parlamenta un Padomes 2023.gada 13.decembra Regulu (ES) 2023/2859, ar ko izveido Eiropas vienoto piekļuves punktu, kurš nodrošina centralizētu piekļuvi publiski pieejamai informācijai saistībā ar finanšu pakalpojumiem, kapitāla tirgiem un ilgtspēju</w:t>
            </w:r>
            <w:r w:rsidR="00000000" w:rsidRPr="00000000" w:rsidDel="00000000">
              <w:rPr>
                <w:rtl w:val="0"/>
              </w:rPr>
              <w:t xml:space="preserve"> (turpmāk - Regula 2023/2859). Proti, to papildinot, norādot, ka Regulas 2023/2859 2. panta 2. punkts tiek iekļauts likumprojekta 4. pantā (Grāmatvedības likuma 18.</w:t>
            </w:r>
            <w:r w:rsidR="00000000" w:rsidRPr="00000000" w:rsidDel="00000000">
              <w:rPr>
                <w:vertAlign w:val="superscript"/>
                <w:rtl w:val="0"/>
              </w:rPr>
              <w:t xml:space="preserve">1</w:t>
            </w:r>
            <w:r w:rsidR="00000000" w:rsidRPr="00000000" w:rsidDel="00000000">
              <w:rPr>
                <w:rtl w:val="0"/>
              </w:rPr>
              <w:t xml:space="preserve"> panta ceturtajā daļā); Regulas 2023/2859 7. panta 5. punkta “e” apakšpunkts un “c” apakšpunkts tiek iekļauts likumprojekta 4. pantā (Grāmatvedības likuma 18.</w:t>
            </w:r>
            <w:r w:rsidR="00000000" w:rsidRPr="00000000" w:rsidDel="00000000">
              <w:rPr>
                <w:vertAlign w:val="superscript"/>
                <w:rtl w:val="0"/>
              </w:rPr>
              <w:t xml:space="preserve">1</w:t>
            </w:r>
            <w:r w:rsidR="00000000" w:rsidRPr="00000000" w:rsidDel="00000000">
              <w:rPr>
                <w:rtl w:val="0"/>
              </w:rPr>
              <w:t xml:space="preserve"> panta trešajā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informāciju 7.punktā, norādot, ka projekts skar jomu - projekta izpildes nodrošināšana un tās ietekme uz institūcijām, svītrojot vārdu "nē". Tā vietā aicinām norādīt, ka projektam ir ietekme uz institūcijām, bet konkrēto institūciju, kam būs pienākums izpildīt likumprojektā paredzēto uzdevumu, noteiks Ministru kabinets atbilstoši likumprojektā ietvertajam deleģējumam. Šobrīd 7.5.punktā “cita informācija” norādītā argumentācija, ka “Ministru kabineta noteiktās informācijas vākšanas struktūras funkcijas tiks paplašinātas attiecībā uz likumprojektā paredzētās informācijas nodošanu ESAP” tiešā veidā izslēdz iespēju pie 7.punkta norādīt “Nē.”, bet gan norāda, ka attiecīgais paskaidrojums būtu nevis atstājams izziņā, bet iekļaujams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Aužele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22.10.2025.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25-TA-1118</w:t>
    </w:r>
    <w:r>
      <w:br/>
    </w:r>
    <w:r w:rsidR="00000000" w:rsidRPr="00000000" w:rsidDel="00000000">
      <w:rPr>
        <w:rtl w:val="0"/>
      </w:rPr>
      <w:t xml:space="preserve">Izdrukāts 22.10.2025.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Atzinumi_25-TA-1118.docx</dc:title>
</cp:coreProperties>
</file>

<file path=docProps/custom.xml><?xml version="1.0" encoding="utf-8"?>
<Properties xmlns="http://schemas.openxmlformats.org/officeDocument/2006/custom-properties" xmlns:vt="http://schemas.openxmlformats.org/officeDocument/2006/docPropsVTypes"/>
</file>