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Pašvaldību finanšu izlīdzināšanas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Pašvaldību savienības un citu pašvaldību biedrību viedokļi par jauno PFI modeli)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finanšu izlīdzināšanas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Rīgas valstspilsēta un Jūrmalas valstspilsēta neatbalsta jauna pašvaldību finanšu izlīdzināšanas modeļa</w:t>
            </w:r>
            <w:r w:rsidR="00000000" w:rsidRPr="00000000" w:rsidDel="00000000">
              <w:rPr>
                <w:rtl w:val="0"/>
              </w:rPr>
              <w:t xml:space="preserve"> (turpmāk – jaunais PFI modelis)</w:t>
            </w:r>
            <w:r w:rsidR="00000000" w:rsidRPr="00000000" w:rsidDel="00000000">
              <w:rPr>
                <w:b w:val="1"/>
                <w:rtl w:val="0"/>
              </w:rPr>
              <w:t xml:space="preserve"> ieviešanu pašreiz piedāvātajā likumprojekta redakcijā</w:t>
            </w:r>
            <w:r w:rsidR="00000000" w:rsidRPr="00000000" w:rsidDel="00000000">
              <w:rPr>
                <w:rtl w:val="0"/>
              </w:rPr>
              <w:t xml:space="preserve">. Jaunā PFI modeļa ieviešanas atbalstīšana atkārtoti būtu vērtējama pēc tam, kad tiks veikti atbilstoši precizējumi likumprojektā un tā anotācijā vai sniegti pamatoti skaidrojumi par izteiktajiem iebildumiem/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pamatojumu Rīgas valstspilsēta ir norādījusi: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Īstermiņā – negatīva fiskālā ietekme salīdzinājumā ar esošo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pašreizējiem aprēķiniem par 2027. gadu, kopējā Jaunā PFI modeļa finanšu ietekme uz Rīgas valstspilsētas pašvaldību ir negatīva. Ieviešot Jauno PFI modeli tā pašreizējā variantā, Rīgas pašvaldības ieņēmumi pēc izlīdzināšanas būtu par 4,6 milj. euro mazāki nekā saglabājot esošo PFI modeli. Negatīva ietekme prognozējama arī citām Rīgas reģiona pašvaldībām – to potenciālie ieņēmumi pēc izlīdzināšanas samazinātos par 15,3 milj. euro, savukārt Jūrmala pašvaldībai – par 1,9 milj. euro. Tādējādi tā dēvētā “donora” pašvaldību statusa zaudēšana faktiski nozīmētu papildu finansiālu slogu šīm pašvaldībām, vismaz īstermiņā.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Vidējā termiņā – nepietiekams ieguldījums ekonomiskās attīstības un finanšu patstāvības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PFI modelis neparedz infrastruktūras izbūves un atjaunošanas vajadzību iekļaušanu PFI kritērijos, joprojām balstoties uz demogrāfiskajiem rādītājiem. Tas nozīmē, ka izlīdzināšanā joprojām netiek ņemta vērā infrastruktūras uzturēšanas un attīstības slodze. Rezultātā veidojas situācija, ka Rīga ik gadu būtisku daļu līdzekļu, kas nepieciešami pilsētas infrastruktūras atjaunošanai un attīstībai, novirza citu Latvijas pašvaldību administratīvo izdevumu segšanai. Savukārt, Rīgas infrastruktūras uzturēšanai nepieciešamos līdzekļus pašvaldībai jāaizņemas, maksājot no Rīgas budžeta administratīvajiem izdevumiem aizņēmumu procentus. Ar jaunā PFI modeļa palīdzību netiek arī risināts jautājums, kas ilgus gadus ir dienaskārtībā, par Rīgas kā galvaspilsētas funkciju izdevumu segšanu, paredzot tam īpašu PFI kritēriju vai citā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citas valstspilsētas kā būtisku trūkumu ir norādījušas, ka likumprojektā nav atrunāts par interešu izglītībai paredzētās summas indeksāciju, kas nozīmē, ka ar katru gadu, palielinoties pedagogu atalgojumam, pašvaldības aizvien vairāk ieguldīs savus budžeta līdzekļus vai būs jāceļ vecāku maksa par pakalpojumu, vai sliktākajā gadījumā būs jāsamazina interešu izglītības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izglītojamo skaits interešu izglītībā, kuri apgūst vispārējās pamatizglītības un vispārējās vidējās izglītības programmas pašvaldību un privātajās izglītības iestādēs, izņemot izglītojamo skaitu tālmācības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2. panta pirmās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 ir neatņemama valsts izglītības sistēmas sastāvdaļa, kas nodrošina bērnu un jauniešu radošo, intelektuālo un sociālo prasmju attīstību, veicina talantu izkopšanu un sekmē pilsonisko līdzdalību. Tādēļ tās nodrošināšana ir skatāma kā valsts mēroga izglītības politikas jautājums ar ilgtermiņa ietekmi uz sabiedrības attīstību, nevis tikai kā atsevišķu pašvaldību brīvprātīga iniciatīva vai papildu atbalsta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interešu izglītības finansēšana primāri tiek atstāta pašvaldību kompetencē, pastāv būtisks risks veidoties nevienlīdzībai starp pašvaldībām izglītojamo iespējās apgūt interešu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valsts normatīvajos aktos tiek noteikti konkrēti kritēriji, kvalitātes prasības un standarti, bet netiek nodrošināts finansējums to izpildei, tas rada papildu fiskālo slogu pašvaldībām. Savukārt situācijā, kad kritēriji un finansēšanas principi nav skaidri definēti, veidojas atšķirīga pieeja un interpretācija starp pašvaldībām, kas apdraud interešu izglītības mērķtiecību, kvalitātes vienotību un attīstības stratēģiju valstiskā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finansējumu PFI sistēmā bez skaidras mērķdotācijas principa, interešu izglītībai paredzētais finansējums katrai atsevišķai pašvaldībai vairs nav identificējams un izsekojams.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interešu izglītības programmām un 1., 2., 3. un 4. klases izglītojamo ēdināšanai;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interešu izglītību un izteikt likumprojekta 4. panta otrās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skatīt pie iebilduma, kas izteikts pie likumprojekta 2. panta pirmās daļas 4.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1., 2., 3. un 4. klases izglītojamo ēdināšanai;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Iedzīvotāju ienākuma nodokļa ieņēmumu sadalījumu starp šā panta otrā daļā pašvaldību budžetos ieskaitāmo iedzīvotāju ienākuma nodokli un pašvaldību finanšu izlīdzināšanai paredzēto iedzīvotāju ienākuma nodokļa ieņēmumu daļu nosaka valsts budžeta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IIN ieņēmumu sadalījums starp pašvaldību budžetos ieskaitāmo IIN un PFI paredzēto IIN ieņēmumu daļu nosaka valsts budžeta likumā, jo tiesību norma rada papildus nezināmo lielumu un apgrūtina vai faktiski padara neiespējamu vidēja termiņa budžeta plānošanu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procenti tiek noteikti augstāki, tad izlīdzināšana tiek veikta dziļākā līmenī, kam nepiekrītam, tā kā šādā gadījumā ir jāvērtē vai tiek veicināta pašvaldību iniciatīva un patstāvība savu finanšu resursu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veiktajos aprēķinos, kur tiek salīdzināts esošais PFI modelis ar jauno pašvaldību izlīdzināšanas modeli, tie ir 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5. panta trešo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Pašvaldību finanšu izlīdzināšanai paredzētā iedzīvotāju ienākuma nodokļa ieņēmumu daļa no šā panta otrā daļā minētā iedzīvotāju ienākuma nodokļa ieņēmumiem ir 60%. Šajā daļā minētais koeficients var tikt pārskatīts ne biežāk kā reizi piecos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“atteikšanās no pašvaldību savstarpējo norēķinu veikšanas par izglītības pakalpojumu sniegšanu izglītojamiem no 1. klases. Atbilstoši Ministru kabineta 2016. gada 28. jūnija noteikumiem Nr. 418 “Kārtība, kādā veicami pašvaldību savstarpējie norēķini par izglītības iestāžu sniegtajiem pakalpojumiem” pašvaldībai, kuras administratīvajā teritorijā deklarētie izglītojamie izglītību iegūst citā pašvaldības izglītības iestādē, jāslēdz līgumi ar attiecīgo pašvaldību, jāsaskaņo izglītojamo skaits un jāveic izglītības pakalpojumu apmaksa. Lai atvieglotu pašvaldību darbu, likumprojekts paredz deklarēto bērnu skaitu (7 – 18 gadi) aizstāt ar  izglītojamo skaitu pašvaldības izglītības iestādēs, kas nozīmē, ka finansējums caur izglītojamā izlīdzināmo vienību kritēriju vērtību tiek novirzīts tieši tai pašvaldībai, kura nodrošina attiecīgu izglītības pakalpojumu. Rezultātā vairs nebūs nepieciešami savstarpējie norēķini, ja attiecīgajā pašvaldībā deklarētais bērns mācās citas pašvaldības izglītības iestādē. Tādējādi pašvaldībām tiek mazināts administratīvais slogs un veicināta skolu tīkla optimizācija, pašvaldībām izvērtējot savu izglītības iestāžu izmaksu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PFI netiek iekļauti arī savstarpējie norēķini par pirmsskolas izglītības iestāžu sniegtajiem izglītības pakalpojumiem, tad administratīvais slogs tiek mazināts nelielā apmērā. Atbalstām savstarpējo norēķinu par izglītības iestāžu sniegtajiem pakalpojumiem iekļaušanu PFI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Fi=IiIIN+IiPF+Di+IiNĪN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IiNĪN-pašvaldības NĪN, nepiedalās PFI un pilnībā paliek pašvaldības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var tikt izmantots, tikai lai salīdzinātu ieņēmumus ar 2026. gada datiem, jo šajos vērtētajos ieņēmumos NĪN ir iekļauts.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NĪN iekļaušana formulās ir pretrunā ar likumprojekta sadaļā “NĪN izslēgšana no PFI” pausto, ka NĪN ieņēmumi pilnībā tiek atstāti pašvaldības rīcībā un no PFI ir izslēgti.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parametru “IiNĪN-pašvaldības NĪN, nepiedalās PFI un pilnībā paliek pašvaldības rīcībā” no anotācijā iekļautajām formulām, kā arī attiecīgā parametra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esošo PFI modeli, kur daļa pašvaldību resursi netiek pakļauti izlīdzināšanai, arī jaunajā piedāvājumā tiek plānots saglabāt PFI sistēmā neizlīdzināmo pašvaldību ieņēmumu daļu, kuru veido NĪN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ir pretrunā ar likumprojekta sadaļā “NĪN izslēgšana no PFI” pausto, ka NĪN ieņēmumi pilnībā tiek atstāti pašvaldības rīcībā un no PFI ir izslēgti.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teikumu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pašvaldībām stabilu un prognozējamu finansējuma apjomu ar likumu noteikto funkciju izpildei, likumprojekts paredz, ka daļa no pašvaldībām piekritīgā IIN tiks sadalīta atbilstoši koeficientam, kas noteikts atbilstoši faktiski nomaksātajam IIN attiecīgajā teritorijā pēc iedzīvotāja dzīvesvietas un darba vietas, nepakļaujot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daļējai IIN sadalei pēc iedzīvotāju darba vietas, līdz nav izstrādāta un apstiprināta kārtība (metodika), kā tiek uzskaitīta iedzīvotāju darba vieta, kā arī veikta šo datu analīze un vērtēta ietekme uz pašvaldību budžeta ieņēmumiem. Bez tam likumprojekta tekstā nav ietverts IIN dalījums iedzīvotāju darba vietas un dzīvesvietas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 šīs sadaļas frāzi “un darba vietas”, izsakot teikumu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pašvaldībām stabilu un prognozējamu finansējuma apjomu ar likumu noteikto funkciju izpildei, likumprojekts paredz, ka daļa no pašvaldībām piekritīgā IIN tiks sadalīta atbilstoši koeficientam, kas noteikts atbilstoši faktiski nomaksātajam IIN attiecīgajā teritorijā pēc iedzīvotāja dzīvesvietas, nepakļaujot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pēc likumprojekta "Pašvaldību finanšu izlīdzināšanas likums" pieņemšanas sagatavot un iesniegt Ministru kabinetā ne vēlāk kā līdz 2026. gada 31.decembrim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normatīvo aktu stāšanos spēkā ar 2027.gada 1.janvāri un dotu pašvaldībām pietiekamu laiku kvalitatīvi iepazīties ar plānotajiem grozījumiem, izvērtēt to ietekmi un sagatavot argumentētu viedokli, attiecīgie projekti Ministru kabinetā būtu jāiesniedz ne vēlāk kā divus mēnešus pirms paredzētā spēkā stāšanās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ir noteiktas normas attiecībā uz valsts finansējuma nodrošināšanu izglītojamo ēdināšanai (piemēram, 14.panta 44.punkts un 59.panta (3¹) daļa). Ņemot vērā, ka 1., 2., 3. un 4. klašu izglītojamo ēdināšanas izdevumi tiek iekļauti Pašvaldību finanšu izlīdzināšanas sistēmā, attiecīgi ir precizējamas arī Izglītības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veicot grozījumiem Ministru kabineta 2019.gada 10.decembra noteikumos Nr. 614 “Kārtība, kādā aprēķina, piešķir un izlieto valsts budžetā paredzētos līdzekļus izglītojamo ēdināšanai” būtu nepieciešams paredzēt arī lielāku pašvaldību rīcības brīvību izglītojamo ēdināšanas organizēšanā. Pašvaldībām būtu iespēja elastīgi veidot savu ēdināšanas politiku, ņemot vērā vietējo sociālekonomisko situāciju, izglītības iestāžu tīklu, skolēnu skaitu un ģimeņu atbalsta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un papildināt Protokollēmuma 8.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pēc likumprojekta “Pašvaldību finanšu izlīdzināšanas likums” pieņemšanas sagatavot un iesniegt Ministru kabinetā ne vēlāk kā līdz 2026. gada 30.oktobrim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2019. gada 10. decembra noteikumos Nr. 614 “Kārtība, kādā aprēķina, piešķir un izlieto valsts budžetā paredzētos līdzekļus izglītojamo ēdināšanai”;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finanšu izlīdzināšanas aprēķinam izmanto pašvaldību izdevumus raksturojošus kritērijus — no pašvaldību darbības neatkarīgus statistikas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frāzi: “no pašvaldību darbības neatkarīgus statistikas rādītājus”, jo šajā daļā minētie rādītāji daļēji ir tieši atkarīgi no pašvaldības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2026. gada 1. novembrim izdod šā likuma </w:t>
            </w:r>
            <w:r w:rsidR="00000000" w:rsidRPr="00000000" w:rsidDel="00000000">
              <w:rPr>
                <w:rtl w:val="0"/>
              </w:rPr>
              <w:t xml:space="preserve">3. </w:t>
            </w:r>
            <w:r w:rsidR="00000000" w:rsidRPr="00000000" w:rsidDel="00000000">
              <w:rPr>
                <w:rtl w:val="0"/>
              </w:rPr>
              <w:t xml:space="preserve">panta</w:t>
            </w:r>
            <w:r w:rsidR="00000000" w:rsidRPr="00000000" w:rsidDel="00000000">
              <w:rPr>
                <w:rtl w:val="0"/>
              </w:rPr>
              <w:t xml:space="preserve"> otrajā daļā minēto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otrajā pusgadā jau aktīvi strādā pie nākamā gada budžeta sagatavošanas ar mērķi pieņemt pašvaldības budžetu budžeta sagatavošanas gadā, līdz ar to pašvaldībai savlaicīgi, vismaz līdz budžeta sagatavošanas gada 15. oktobrim, ir jābūt pietiekami precīzai IIN daļas prognozei, līdz ar to aicinām izteikt pārejas noteikumu 4.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w:t>
            </w:r>
            <w:r w:rsidR="00000000" w:rsidRPr="00000000" w:rsidDel="00000000">
              <w:rPr>
                <w:u w:val="single"/>
                <w:rtl w:val="0"/>
              </w:rPr>
              <w:t xml:space="preserve">viena mēneša laikā no likuma spēkā stāšanās dienas</w:t>
            </w:r>
            <w:r w:rsidR="00000000" w:rsidRPr="00000000" w:rsidDel="00000000">
              <w:rPr>
                <w:rtl w:val="0"/>
              </w:rPr>
              <w:t xml:space="preserve"> izdod šā likuma 3. panta otrajā daļā minēto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Izlīdzināmo vienību vērtību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“Iegūtos datus par pašvaldību izdevumiem pa funkcionālajām kategrijām attiecina uz katru no kritēriju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norādot metodiku, kā tiek iegūti kritēriju grupu attiecināšanas koeficienti.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26-TA-462</w:t>
    </w:r>
    <w:r>
      <w:br/>
    </w:r>
    <w:r w:rsidR="00000000" w:rsidRPr="00000000" w:rsidDel="00000000">
      <w:rPr>
        <w:rtl w:val="0"/>
      </w:rPr>
      <w:t xml:space="preserve">Izdrukāts 26.02.2026.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26-TA-462</w:t>
    </w:r>
    <w:r>
      <w:br/>
    </w:r>
    <w:r w:rsidR="00000000" w:rsidRPr="00000000" w:rsidDel="00000000">
      <w:rPr>
        <w:rtl w:val="0"/>
      </w:rPr>
      <w:t xml:space="preserve">Izdrukāts 26.02.2026.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Atzinumi_26-TA-462.docx</dc:title>
</cp:coreProperties>
</file>

<file path=docProps/custom.xml><?xml version="1.0" encoding="utf-8"?>
<Properties xmlns="http://schemas.openxmlformats.org/officeDocument/2006/custom-properties" xmlns:vt="http://schemas.openxmlformats.org/officeDocument/2006/docPropsVTypes"/>
</file>