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23-TA-1486: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Modernizācijas fonda finansēto projektu atklāta konkursa "Energoefektivitātes paaugstināšana transporta sektorā – atbalsts elektromobiļu un to uzlādes infrastruktūras ieviešanai"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Komersantiem atbalstu aktivitāšu īstenošanai sniedz kā atbalstu saskaņā ar Komisijas 2023. gada 13. decembra regulu (ES) Nr.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Regula Nr. 2023/2831) un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 Ja komersantam nav pieejams </w:t>
            </w:r>
            <w:r w:rsidR="00000000" w:rsidRPr="00000000" w:rsidDel="00000000">
              <w:rPr>
                <w:i w:val="1"/>
                <w:rtl w:val="0"/>
              </w:rPr>
              <w:t xml:space="preserve">de minimis</w:t>
            </w:r>
            <w:r w:rsidR="00000000" w:rsidRPr="00000000" w:rsidDel="00000000">
              <w:rPr>
                <w:rtl w:val="0"/>
              </w:rPr>
              <w:t xml:space="preserve"> limits vismaz granta ekvivalenta apmērā, atbalstu sniedz saskaņā ar Komisijas 2014. gada 17. jūnija regulas (ES) Nr. </w:t>
            </w:r>
            <w:r w:rsidR="00000000" w:rsidRPr="00000000" w:rsidDel="00000000">
              <w:rPr>
                <w:rtl w:val="0"/>
              </w:rPr>
              <w:t xml:space="preserve">651/2014</w:t>
            </w:r>
            <w:r w:rsidR="00000000" w:rsidRPr="00000000" w:rsidDel="00000000">
              <w:rPr>
                <w:rtl w:val="0"/>
              </w:rPr>
              <w:t xml:space="preserve">, ar ko noteiktas atbalsta kategorijas atzīst par saderīgām ar iekšējo tirgu, piemērojot Līguma 107. un 108. pantu (turpmāk – Regula Nr. 651/2014) 36.a vai 36.b. pantu un šo noteikumu </w:t>
            </w:r>
            <w:r w:rsidR="00000000" w:rsidRPr="00000000" w:rsidDel="00000000">
              <w:rPr>
                <w:rtl w:val="0"/>
              </w:rPr>
              <w:t xml:space="preserve">49. </w:t>
            </w:r>
            <w:r w:rsidR="00000000" w:rsidRPr="00000000" w:rsidDel="00000000">
              <w:rPr>
                <w:rtl w:val="0"/>
              </w:rPr>
              <w:t xml:space="preserve">punktu</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49.punkts ietver informāciju, ka komercdarbības atbalstu saskaņā ar Regulu Nr. 651/2014 projekta iesniedzējam piešķir, ja ievēroti attiecīgie Regulas Nr. 651/2014 nosacījumi, kas neietver visus Regulas Nr. 651/2014 nosacījumus, kas ir jāievēro. Attiecīgi lūdzam dzēst noteikumu projekta 5.punktā atsauci uz šo noteikumu 49.punktu, jo noteikumu projekta 5.punktā jau ir pateikts, ka atbalstu sniedz saskaņā ar Regulu Nr. 651/2014.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Komersantiem, kas nodrošina sabiedriskā transporta pakalpojumus, atbalstu sniedz saskaņā ar Eiropas Parlamenta un Padomes 2007. gada 23. oktobra Regulu (EK) Nr. </w:t>
            </w:r>
            <w:r w:rsidR="00000000" w:rsidRPr="00000000" w:rsidDel="00000000">
              <w:rPr>
                <w:rtl w:val="0"/>
              </w:rPr>
              <w:t xml:space="preserve">1370/2007</w:t>
            </w:r>
            <w:r w:rsidR="00000000" w:rsidRPr="00000000" w:rsidDel="00000000">
              <w:rPr>
                <w:rtl w:val="0"/>
              </w:rPr>
              <w:t xml:space="preserve"> par sabiedriskā pasažieru transporta pakalpojumiem, izmantojot dzelzceļu un autoceļus, un ar ko atceļ Padomes Regulu (EEK) Nr. 1191/69 un Padomes Regulu (EEK) Nr. 1107/70.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pasākumā plānots atbalstu sniegt saskaņā Regulu (EK) Nr. 1370/2007, lūdzam noteikumu projektu papildināt ar atbilstošajiem nosacījumiem, kas izriet no Regulas (EK) Nr. 1370/2007. Vienlaikus lūdzam papildināt arī anotācijas 5.4. 1. tabulu. "Tiesību akta projekta atbilstība ES tiesību aktiem" ar izvērtējumu atbilstoši Regulai (EK) Nr. 1370/2007.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ņemt vērā, ka Regulas Nr. 651/2014 36.b punkts paredz atbalsta piešķiršanu uzņēmumiem, kam pēc atklāta, pārredzama un nediskriminējoša publiskā iepirkuma konkursa ir piešķirts sabiedrisko pakalpojumu līgums par sabiedriskā pasažieru transporta pakalpojumu 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Pieejamais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III sadaļu “Pieejamais finansējums” ar punktu, kurā tiek noteikta Modernizācijas fonda finansējuma atbalsta intensitāte (%) un finansējuma saņēmēja līdzfinansējuma apmērs (%) projekta ietvaros no kopējām attiecināmām izmaksām vismaz attiecībā uz valsts tiešās pārvaldes iestādēm. Vēršam uzmanību, ka noteikumu projekta 10.4.apakšpunktā paredzēts, ka projekta iesniedzēji var būt arī valsts tiešās pārvaldes iestādes, noteikumu projekta 18.1.apakšpunktā paredzēts, ka tiešās pārvaldes iestādei maksimālais Modernizācijas fonda finansējums ir 100 000 euro, 19.punktā paredzēts, ka projektu finansē arī no finansējuma saņēmēja līdzekļiem, un 94.punktā noteikts, ka valsts budžeta iestādēm līdzfinansējumu nodrošina no valsts budžeta, bet šobrīd no noteikumu projekta nav saprotams, kāds ir prognozētais līdzfinansējuma apmērs, kas būs jānodrošina valsts tiešās pārvaldes iestādei projekta īstenošanai. Uzskatām, ka attiecībā uz valsts tiešās pārvaldes iestādēm ir jābūt skaidri noteiktam finansējuma apmēra regulējumam arī attiecībā uz līdzfinansējuma nodrošināšanu, ņemot vērā, ka valsts tiešās pārvaldes iestādes pamatā tiek finansētas no valsts budžeta līdzekļiem. Lūdzam izvērtēt, vai atbalsta intensitātes nosacījums nebūtu nosakāms noteikumu projekta 19.punktā, paredzot nosacījumu attiecībā uz valsts tiešās pārvaldes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Projektu finansē no Modernizācijas fonda līdzekļiem un līdzfinansē no finansējuma saņēmēja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19.punkts nosaka, ka projektu finansē no Modernizācijas fonda līdzekļiem un līdzfinansē no finansējuma saņēmēja līdzekļiem, savukārt, noteikumu projekta 18.1. apakšpunkts nosaka, ka projekta iesniedzējam, kas ir pašvaldība, pašvaldības izveidota iestāde, pašvaldības kapitālsabiedrība vai tiešās pārvaldes iestāde, maksimālais pieejamais Modernizācijas fonda finansējums ir 100 000 </w:t>
            </w:r>
            <w:r w:rsidR="00000000" w:rsidRPr="00000000" w:rsidDel="00000000">
              <w:rPr>
                <w:i w:val="1"/>
                <w:rtl w:val="0"/>
              </w:rPr>
              <w:t xml:space="preserve">euro</w:t>
            </w:r>
            <w:r w:rsidR="00000000" w:rsidRPr="00000000" w:rsidDel="00000000">
              <w:rPr>
                <w:rtl w:val="0"/>
              </w:rPr>
              <w:t xml:space="preserve">. Ņemot vērā minēto, nav skaidri saprotams, kāds līdzfinansējuma apmērs būs jānodrošina gadījumā, ja projekta īstenošanai nepieciešamais finansējums nepārsniegs minētos 100 000 </w:t>
            </w:r>
            <w:r w:rsidR="00000000" w:rsidRPr="00000000" w:rsidDel="00000000">
              <w:rPr>
                <w:i w:val="1"/>
                <w:rtl w:val="0"/>
              </w:rPr>
              <w:t xml:space="preserve">euro</w:t>
            </w:r>
            <w:r w:rsidR="00000000" w:rsidRPr="00000000" w:rsidDel="00000000">
              <w:rPr>
                <w:rtl w:val="0"/>
              </w:rPr>
              <w:t xml:space="preserve">, līdz ar to lūdzam precizēt noteikumu projekta 19.punkta redakciju. Papildus lūdzam aizpildīt anotācijas 3.sadaļu, norādot ietekmi uz pašvaldību budžetiem, jo gadījumos, kad finansējuma saņēmējs būs pašvaldība, tai būs jānodrošina līdzfinansējums.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Locāne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 ir radušās pēc projekta iesnieguma iesniegšanas Vides investīciju fondā, bet ne vēlāk kā līdz projekta īstenošanas termiņa beigām, ja finansējuma saņēmējs ir mikro, mazais vai vidējais komersants;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prasībām, kas izriet no Regulas Nr. 651/2014 6.panta prasībām, vienlaikus nosakot, ka gadījumā, ja darbi ir uzsākti pirms projekta iesnieguma iesniegšanas, viss projekts ir noraidāms. Nepieciešamības gadījumā lūdzam attiecīgi precizēt noteikumu projekta 21.4. un 21.5.apakšpunktu.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noteikumos iekļaut "darbu sākums" definīciju un lūdzam anotāciju papildināt ar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 komersantiem, kas plāno saņemt atbalstu saskaņā ar Regulu Nr. </w:t>
            </w:r>
            <w:r w:rsidR="00000000" w:rsidRPr="00000000" w:rsidDel="00000000">
              <w:rPr>
                <w:rtl w:val="0"/>
              </w:rPr>
              <w:t xml:space="preserve">651/2014</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normas skaidrībai precizēt, saskaņā ar kādu Regulas Nr.651/2014 pantu plānots piešķirt atbalstu.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 komersantiem, kas plāno saņemt atbalstu saskaņā ar Regulu Nr. </w:t>
            </w:r>
            <w:r w:rsidR="00000000" w:rsidRPr="00000000" w:rsidDel="00000000">
              <w:rPr>
                <w:rtl w:val="0"/>
              </w:rPr>
              <w:t xml:space="preserve">651/2014</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noteikumos ir ietvertas skaidras atsauces uz Regulas Nr. 651/2014 normām, lūdzam 33.2.apakšpunktu papildināt ar atsauci uz Regulas Nr. 651/2014 36.b pantu, vienlaikus noteikumu projekta V.nodaļā iekļaujot visus šī panta attiecināmos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Atbalsta elektromobiļu infrastruktūras izveidei speciālie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noteikumos ir ietverti skaidri nosacījumi, t.sk. atsauces uz Regulas Nr. 651/2014 normām, lūdzam noteikumu projekta VI. nodaļu papildināt ar atsauci uz Regulas Nr. 651/2014 36.a pantu, vienlaikus iekļaujot visus tā attiecināmos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44.1. nepiešķir Regulas Nr. 2023/2831 1. pantā noteiktajām nozarēm un darbībām;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Neatbalstāmās nozares un darbības ir minētas tikai Regulas Nr. 2023/2831 1. panta 1.punktā. Līdz ar to lūdzam precizēt noteikumu projekta 44.1.apakšpunktu.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44.2. nodrošina darbības vai izmaksu nošķiršanu saskaņā ar Regulas Nr. 2023/2831 1. panta 2. punktu, ja komersants vienlaikus darbojas saskaņā ar šiem noteikumiem atbalstāmajās un neatbalstāmajās nozarēs;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Komisijas regulas Nr.2023/2831 nosacījumu korektu ievērošanu, aicinām noteikumu projekta 44.2.apakšpunktu izteikt, piemēram,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"44.2. nodrošina šo nozaru darbību vai uzskaites nodalīšanu, lai saskaņā ar Komisijas regulas Nr.2023/2831 1.panta 2.punktu darbības izslēgtajās nozarēs negūst labumu no de minimis atbalsta, ko piešķir saskaņā ar šiem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44.5. piešķirot </w:t>
            </w:r>
            <w:r w:rsidR="00000000" w:rsidRPr="00000000" w:rsidDel="00000000">
              <w:rPr>
                <w:i w:val="1"/>
                <w:rtl w:val="0"/>
              </w:rPr>
              <w:t xml:space="preserve">de minimis</w:t>
            </w:r>
            <w:r w:rsidR="00000000" w:rsidRPr="00000000" w:rsidDel="00000000">
              <w:rPr>
                <w:rtl w:val="0"/>
              </w:rPr>
              <w:t xml:space="preserve"> atbalstu, pārbauda, vai plānotais </w:t>
            </w:r>
            <w:r w:rsidR="00000000" w:rsidRPr="00000000" w:rsidDel="00000000">
              <w:rPr>
                <w:i w:val="1"/>
                <w:rtl w:val="0"/>
              </w:rPr>
              <w:t xml:space="preserve">de minimis</w:t>
            </w:r>
            <w:r w:rsidR="00000000" w:rsidRPr="00000000" w:rsidDel="00000000">
              <w:rPr>
                <w:rtl w:val="0"/>
              </w:rPr>
              <w:t xml:space="preserve"> atbalsts kopā ar iepriekšējos trīs gados, skaitot no atbalsta piešķiršanas dienas, saņemto </w:t>
            </w:r>
            <w:r w:rsidR="00000000" w:rsidRPr="00000000" w:rsidDel="00000000">
              <w:rPr>
                <w:i w:val="1"/>
                <w:rtl w:val="0"/>
              </w:rPr>
              <w:t xml:space="preserve">de minimis </w:t>
            </w:r>
            <w:r w:rsidR="00000000" w:rsidRPr="00000000" w:rsidDel="00000000">
              <w:rPr>
                <w:rtl w:val="0"/>
              </w:rPr>
              <w:t xml:space="preserve">atbalstu viena vienota uzņēmuma līmenī nepārsniedz Komisijas regulas Nr.2023/2831 3.panta 2.punktā noteikto maksimālo </w:t>
            </w:r>
            <w:r w:rsidR="00000000" w:rsidRPr="00000000" w:rsidDel="00000000">
              <w:rPr>
                <w:i w:val="1"/>
                <w:rtl w:val="0"/>
              </w:rPr>
              <w:t xml:space="preserve">de minimis</w:t>
            </w:r>
            <w:r w:rsidR="00000000" w:rsidRPr="00000000" w:rsidDel="00000000">
              <w:rPr>
                <w:rtl w:val="0"/>
              </w:rPr>
              <w:t xml:space="preserve"> atbalsta apmēru. Viens vienots uzņēmums ir uzņēmums, kas atbilst Komisijas regulas Nr. 2023/2831 2.panta 2.punktā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atbilstoši Komisijas 2023.gada 13.decembra regulas Nr.2023/2831 par Līguma par Eiropas Savienības darbību 107. un 108.panta piemērošanu de minimis atbalstam, 3.panta 2.punktā noteiktajam atbalsta sniedzējam ir pienākums pārbaudīt piešķirtā, nevis faktiski saņemtā atbalsta apjomu. Lai nodrošinātu atbilstību Komisijas regulas Nr.2023/2831 3.panta 2.punktam, aicinām noteikumu projekta 44.5.apakšpunktā aizstāt vārdu “saņemto” ar vārdu “piešķirto”.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minētajām aktivitātēm atbilstoši Regulai Nr. </w:t>
            </w:r>
            <w:r w:rsidR="00000000" w:rsidRPr="00000000" w:rsidDel="00000000">
              <w:rPr>
                <w:rtl w:val="0"/>
              </w:rPr>
              <w:t xml:space="preserve">651/2014</w:t>
            </w:r>
            <w:r w:rsidR="00000000" w:rsidRPr="00000000" w:rsidDel="00000000">
              <w:rPr>
                <w:rtl w:val="0"/>
              </w:rPr>
              <w:t xml:space="preserve"> piešķirto finansējumu komersantiem attiecībā uz vienām un tām pašām attiecināmajām izmaksām nevar apvienot ar </w:t>
            </w:r>
            <w:r w:rsidR="00000000" w:rsidRPr="00000000" w:rsidDel="00000000">
              <w:rPr>
                <w:i w:val="1"/>
                <w:rtl w:val="0"/>
              </w:rPr>
              <w:t xml:space="preserve">de minimis</w:t>
            </w:r>
            <w:r w:rsidR="00000000" w:rsidRPr="00000000" w:rsidDel="00000000">
              <w:rPr>
                <w:rtl w:val="0"/>
              </w:rPr>
              <w:t xml:space="preserve"> atbalstu.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48.punkts ir pretrunā šo noteikumu 13.3.apakšpunktā noteiktajam, ka aizliegta ir jebkāda kumulācija, līdz ar to lūdzam attiecīgi precizēt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49.3. 1. panta 4. punkta "a" apakšpunkta nosacījumi, ka atbalsts netiek sniegts saņēmējam, uz kuru attiecas līdzekļu atgūšanas rīkojums saskaņā ar iepriekšēju Eiropas Komisijas lēmumu, ar ko atbalsts tiek atzīts par nelikumīgu un nesaderīgu ar kopējo tirgu;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Komisijas regulas Nr.651/2014 1.panta 4.punkta un 2.panta 18.punkta nosacījumi ir jāvērtē/jāpiemēro uzņēmuma grupas līmenī (Komisijas regulas Nr.651/2014 angliskajā versijā nosacījumi, kas ir attiecināmi uz ‘undertaking’, ir jāpārbauda/jāpiemēro uzņēmuma grupas līmenī), lūdzam noteikumu 49.3. un 49.4. apakšpunktus precizēt, lai nodrošinātu, ka ar terminu "saņēmējs" tiek saprasts, ka saņēmējs tiek vērtēts grupas līmenī. Vienlaikus ar skaidrojumu lūdzam papildināt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49.4. atbalsts netiek piešķirts grūtībās nonākušiem uzņēmumiem, tai skaitā grūtībās nonākušai pašvaldības kapitālsabiedrībai, kas atbilst vismaz vienai no Regulas Nr. </w:t>
            </w:r>
            <w:r w:rsidR="00000000" w:rsidRPr="00000000" w:rsidDel="00000000">
              <w:rPr>
                <w:rtl w:val="0"/>
              </w:rPr>
              <w:t xml:space="preserve">651/2014</w:t>
            </w:r>
            <w:r w:rsidR="00000000" w:rsidRPr="00000000" w:rsidDel="00000000">
              <w:rPr>
                <w:rtl w:val="0"/>
              </w:rPr>
              <w:t xml:space="preserve">  2. panta 18. punktā paredzētajām situācijām;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Komisijas regulas Nr.651/2014 nosacījumu ievērošanu, aicinām precizēt noteikumu projekta 49.4.apakšpunktā ietverto nosacījumu norādot, ka atbilstība Komisijas regulas Nr.651/2014 2.panta 18.punkta c) apakšpunktam tiek pārbaudīta, balstoties uz atbalsta pretendenta iesniegtu apliecinājumu.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49.5. 1. panta 5. punkta nosacījumi, ka atbalsta pasākums neietver Eiropas Savienības tiesību pārkāpumus;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šo apakšpunktu dzēst, jo tas uzliek nosacījumu attiecībā uz pašiem noteikumu projekta nosacījumiem, ka tie nedrīkst radīt ES tiesību pārkāpumu, nevis to, ka šis nosacījums būtu pārbaudāms uz atbalsta pretendentu.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Lielais komersants, kas plāno īstenot kādu no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minētajām aktivitātēm saskaņā ar Regulu </w:t>
            </w:r>
            <w:r w:rsidR="00000000" w:rsidRPr="00000000" w:rsidDel="00000000">
              <w:rPr>
                <w:rtl w:val="0"/>
              </w:rPr>
              <w:t xml:space="preserve">Nr. 651/2014</w:t>
            </w:r>
            <w:r w:rsidR="00000000" w:rsidRPr="00000000" w:rsidDel="00000000">
              <w:rPr>
                <w:rtl w:val="0"/>
              </w:rPr>
              <w:t xml:space="preserve">, pirms projekta īstenošanas uzsākšanas un projekta īstenošanas laikā izpilda minētās regulas 8. panta 3. punktā noteiktās prasības, kā arī aizpilda šo noteikumu </w:t>
            </w:r>
            <w:r w:rsidR="00000000" w:rsidRPr="00000000" w:rsidDel="00000000">
              <w:rPr>
                <w:rtl w:val="0"/>
              </w:rPr>
              <w:t xml:space="preserve">1. </w:t>
            </w:r>
            <w:r w:rsidR="00000000" w:rsidRPr="00000000" w:rsidDel="00000000">
              <w:rPr>
                <w:rtl w:val="0"/>
              </w:rPr>
              <w:t xml:space="preserve">pielikuma</w:t>
            </w:r>
            <w:r w:rsidR="00000000" w:rsidRPr="00000000" w:rsidDel="00000000">
              <w:rPr>
                <w:rtl w:val="0"/>
              </w:rPr>
              <w:t xml:space="preserve"> 5.3. sadaļu.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šī punkta redakciju, ņemot vērā, ka nav skaidrs, kādas prasības ir jāizpilda, kas izriet no regulas 8. panta 3. 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Ja tiek pārkāptas šajos noteikumos minētās komercdarbības atbalsta kontroles normas, tostarp nosacījumi, kas izriet no Regulas Nr. </w:t>
            </w:r>
            <w:r w:rsidR="00000000" w:rsidRPr="00000000" w:rsidDel="00000000">
              <w:rPr>
                <w:rtl w:val="0"/>
              </w:rPr>
              <w:t xml:space="preserve">651/2014</w:t>
            </w:r>
            <w:r w:rsidR="00000000" w:rsidRPr="00000000" w:rsidDel="00000000">
              <w:rPr>
                <w:rtl w:val="0"/>
              </w:rPr>
              <w:t xml:space="preserve">, Vides investīciju fonds finansējuma saņēmējam uzliek par pienākumu atmaksāt projekta ietvaros saņemto nelikumīgo komercdarbības atbalstu, savukārt, ja tiek pārkāptas šajos noteikumos minētās komercdarbības atbalsta kontroles normas, tostarp nosacījumi, kas izriet no Regulas Nr. 2023/2831, Vides investīciju fonds finansējuma saņēmējam uzliek par pienākumu atmaksāt visu projekta ietvaros saņemto </w:t>
            </w:r>
            <w:r w:rsidR="00000000" w:rsidRPr="00000000" w:rsidDel="00000000">
              <w:rPr>
                <w:i w:val="1"/>
                <w:rtl w:val="0"/>
              </w:rPr>
              <w:t xml:space="preserve">de minimis</w:t>
            </w:r>
            <w:r w:rsidR="00000000" w:rsidRPr="00000000" w:rsidDel="00000000">
              <w:rPr>
                <w:rtl w:val="0"/>
              </w:rPr>
              <w:t xml:space="preserve"> atbalstu. Atmaksu veic kopā ar procentiem no līdzekļiem, kas ir brīvi no komercdarbības atbalsta, saskaņā ar </w:t>
            </w:r>
            <w:r w:rsidR="00000000" w:rsidRPr="00000000" w:rsidDel="00000000">
              <w:rPr>
                <w:rtl w:val="0"/>
              </w:rPr>
              <w:t xml:space="preserve">Komercdarbības atbalsta kontroles likuma</w:t>
            </w:r>
            <w:r w:rsidR="00000000" w:rsidRPr="00000000" w:rsidDel="00000000">
              <w:rPr>
                <w:rtl w:val="0"/>
              </w:rPr>
              <w:t xml:space="preserve"> IV vai V nodaļu.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Nelikumīgs komercdarbības atbalsts ir tikai tāds atbalsts, kas piešķirts pārkāpjot attiecīgās regulās noteiktos nosacījumus. Attiecīgi lūdzam noteikumu projekta 55.punktu izteikt, piemēram,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Ja tiek pārkāpti Regulas Nr. 651/2014 nosacījumi, Vides investīciju fonds finansējuma saņēmējam uzliek par pienākumu atmaksāt projekta ietvaros saņemto nelikumīgo komercdarbības atbalstu, savukārt, ja tiek pārkāpti Regulas Nr. 2023/2831 nosacījumi, Vides investīciju fonds finansējuma saņēmējam uzliek par pienākumu atmaksāt projekta ietvaros saņemto de minimis atbalstu. Atmaksu veic kopā ar procentiem no līdzekļiem, kas ir brīvi no komercdarbības atbalsta saskaņā ar Komercdarbības atbalsta kontroles likuma IV vai V nodaļu.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 Finansējuma saņēmējs nodrošina, ka projektā tiek paredzēts zaļais publiskais iepirkums būvdarbu vai preču vai pakalpojumu grupās, kurās ir izstrādāts regulējums nacionālajos normatīvajos aktos par prasībām zaļajam publiskajam iepirkumam un to piemērošanas kārtību. Atbalstāma ir vides piekļūstamības un izmantojamības nodrošināšana, veicot sociāli atbildīgu publisko iepirkumu, kur tas ir attiecināms un atbilstošs ieguldījumu specifikai.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2017. gada 20. jūnija noteikumos Nr. 353 “Prasības zaļajam publiskajam iepirkumam un to piemērošanas kārtība” nav noteiktas prasības elektrotransportam (noteikumos ietvertās prasības attiecas tikai uz transportlīdzekļiem ar iekšdedzes dzinēju). Tāpat minētie noteikumi neparedz prasības attiecībā uz uzlādes punktu infrastruktūru (izņemot trešās grupas ēku projektēšanā, kur jāparedz tikai optimālais to skaits). Savukārt Publisko iepirkumu likums, ņemot vērā, ka elektrotransports ir “tīrais” autotransports, pieļauj piedāvājumu salīdzināšanai vērtēt tikai cenu (transportlīdzekļu ekspluatācijas ietekme uz enerģētiku un vidi ir jāizvērtē tikai uz transportlīdzekļiem ar iekšdedzes dzinēju).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Kaņeps (IUB)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attiecībā uz sadaļu - Citi nosacījumi, Zaļais publiskais iepirkums.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MK 2017. gada 20. jūnija noteikumos Nr. 353 “Prasības zaļajam publiskajam iepirkumam un to piemērošanas kārtība” nav noteiktas prasības elektrotransportam (noteikumos ietvertās prasības attiecas tikai uz transportlīdzekļiem ar iekšdedzes dzinēju). Tāpat minētie noteikumi neparedz prasības attiecībā uz uzlādes punktu infrastruktūru (izņemot trešās grupas ēku projektēšanā, kur jāparedz tikai optimālais to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Publisko iepirkumu likums, ņemot vērā, ka elektrotransports ir “tīrais” autotransports, pieļauj piedāvājumu salīdzināšanai vērtēt tikai cenu (transportlīdzekļu ekspluatācijas ietekme uz enerģētiku un vidi ir jāizvērtē tikai uz transportlīdzekļiem ar iekšdedzes dzinēju). Attiecīgi būtu apsverams, vai ir nepieciešams noteikumos paredzēt kādas papildu prasības Publisko iepirkumu likumā noteiktajām elektrotransporta iegādē.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šobrīd, ņemot vērā problemātiku to izvērtēšanā, tiek apsvērts izslēgt no noteikumiem tādas prasības kā trokšņa emisijas līmeņa (tai skaitā riepu radītā trokšņa emisijas līmeņa) un prasības par informāciju/norādījumiem par ekoloģisku braukšanu. Vienlaikus no anotācijas nav saprotams, kas ir sistēmas, kas uzrāda ekoloģiskas braukšanas rādītājus transportlīdzekļa salonā.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Kaņeps (IUB)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aizpildīt 2.1.apakšpunktu, norādot noteikumu projekta īstenošanai sagaidāmos izdevumus no Modernizācijas fonda, kā arī sagaidāmos izdevumus valsts budžeta līdzfinansējuma nodrošināšanai situācijā, ja projekta īstenotājs būs valsts budžeta iestāde, ievērojot sniegto iebildumu pie noteikumu projekta III sadaļas.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10.4. apakšpunktā norādīto, ka projekta iesniedzējs var būt valsts tiešās pārvaldes iestāde, noteikumu projekta 19.punktā norādīto, ka projekts tiek  līdzfinansēts no finansējuma saņēmēja līdzekļiem, un noteikumu projekta 94.punktā noteikto, ka finansējuma saņēmējam, kas ir valsts budžeta iestāde, līdzfinansējumu nodrošina no valsts budžeta un maksājumus veic no līdzekļiem, kas projekta īstenošanai paredzēti tās ministrijas budžetā, kuras padotībā ir attiecīgā valsts budžeta iestāde, lūdzam anotācijas 3.sadaļas punktā “Cita informācija” skaidrot, kā tiks nodrošināts minētais finansējums attiecīgās ministrijas budžetā. Ja paredzēts, ka attiecīgais finansējums valsts budžeta iestādēm jānodrošina no ministrijas budžetā esošajiem līdzekļiem, tad lūdzam to arī skaidri norādīt, nepieciešamības gadījumā precizējot arī noteikumu projekta 94.punktu. Savukārt, ja plānots, ka valsts budžeta iestādēm līdzfinansējuma apmērs saskaņā ar Ministru kabineta 2018. gada 17. jūlija noteikumu Nr. 421 “Kārtība, kādā veic gadskārtējā valsts budžeta likumā noteiktās apropriācijas izmaiņas” 24.1.apakšpunktu tiks pieprasīts no  valsts budžeta programmas 80.00.00 “Nesadalītais finansējums Eiropas Savienības politiku instrumentu un pārējās ārvalstu finanšu palīdzības līdzfinansēto projektu un pasākumu īstenošanai”, tad punkts “Cita informācija” ir jāpapildina ar informāciju norādot, ka projektu īstenošanai Modernizācijas fonda finansējuma daļa un valsts budžeta līdzfinansējuma daļa (tikai attiecībā uz valsts budžeta iestādēm) tiks pieprasīta no valsts budžeta programmas 80.00.00 “Nesadalītais finansējums Eiropas Savienības politiku instrumentu un pārējās ārvalstu finanšu palīdzības līdzfinansēto projektu un pasākumu īstenošanai”. Vienlaikus vēršam uzmanību, ka situācijā, ja valsts budžeta līdzfinansējuma apmēru plānots pieprasīt no 80.00.00 programmas, tad vēl jo būtiskāk ir noteikumu projektā paredzēt normas, kas paredz skaidru finansējuma apmēra regulējumu arī attiecībā uz līdzfinansējuma nodrošināšanu, ja projekta īstenotājs ir valsts budžeta iestāde, par ko norādīts iebildumā pie noteikumu projekta III sadaļas.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 pret projekta iesniedzēju ir vērsta prasība par līdzekļu atgūšanu no citām valsts atbalsta programmām vai projektiem saskaņā ar iepriekšēju Eiropas Komisijas lēmumu, ar ko atbalsts tiek atzīts par nelikumīgu un nesaderīgu ar kopējo tirgu;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13.4. apakšpunktā noteiktais dublē 49.3.apakšpunktā noteikto, attiecīgi aicinām pārskatīt un precizēt normas, kas dublējas.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aprēķinu anotācijā (12.lpp "rezultāti" 5. un 6. punktos) kas paskaidro norādītos datus par emisiju samazinājumu un elektroenerģijas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Rabša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7.lpp. un nolikumā 37. punktā pārbaudīt izmantoto formulējumu: "ar jaudu līdz 150 kW".</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jaudu virs 22 kW un zem 150 kW"</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Rabša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anotācijā 7.lpp un 12.lpp izmantot (emisijas) "CO2 ekv." (CO2 ekvivalentā) "CO2" vietā, jo autotransports veido arī N2O un CH4 emisijas.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Rabša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anotācijā 6.lpp. teikumam "Noteikumu projektā paredzēts, ka, uz finansējumu pretendēt varēs tikai tāds komersants, kura īpašumā un savā saimnieciskajā darbībā tiek izmantoti vismaz pieci transportlīdzekļi." pievienot informāciju no noteikumu projekta 27.3. apakšpunkta.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ka, uz finansējumu pretendēt varēs tikai tāds komersants, kura īpašumā un savā saimnieciskajā darbībā tiek izmantoti vismaz pieci transportlīdzekļi, un projektā ir ieplānots iegādāties vismaz trīs elektromobiļus."</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Rabša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23-TA-1486</w:t>
    </w:r>
    <w:r>
      <w:br/>
    </w:r>
    <w:r w:rsidR="00000000" w:rsidRPr="00000000" w:rsidDel="00000000">
      <w:rPr>
        <w:rtl w:val="0"/>
      </w:rPr>
      <w:t xml:space="preserve">Izdrukāts 10.05.2024. 12.13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23-TA-1486</w:t>
    </w:r>
    <w:r>
      <w:br/>
    </w:r>
    <w:r w:rsidR="00000000" w:rsidRPr="00000000" w:rsidDel="00000000">
      <w:rPr>
        <w:rtl w:val="0"/>
      </w:rPr>
      <w:t xml:space="preserve">Izdrukāts 10.05.2024. 12.13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Atzinumi_23-TA-1486.docx</dc:title>
</cp:coreProperties>
</file>

<file path=docProps/custom.xml><?xml version="1.0" encoding="utf-8"?>
<Properties xmlns="http://schemas.openxmlformats.org/officeDocument/2006/custom-properties" xmlns:vt="http://schemas.openxmlformats.org/officeDocument/2006/docPropsVTypes"/>
</file>