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Kārtību, kādā Latvijas Zvērinātu revidentu asociācija izdod administratīvos aktus (lēmumus) tai šajā likumā deleģētajos ar revīzijas pakalpojumu uzraudzību saistītajos uzdevumos, nosaka administratīvo aktu izdošanas kārtību reglamentējošie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3.1. apakšpunkts noteic, ka </w:t>
            </w:r>
            <w:r w:rsidR="00000000" w:rsidRPr="00000000" w:rsidDel="00000000">
              <w:rPr>
                <w:u w:val="single"/>
                <w:rtl w:val="0"/>
              </w:rPr>
              <w:t xml:space="preserve">normatīvā akta projektā neietver normas, kas ir deklaratīvas</w:t>
            </w:r>
            <w:r w:rsidR="00000000" w:rsidRPr="00000000" w:rsidDel="00000000">
              <w:rPr>
                <w:rtl w:val="0"/>
              </w:rPr>
              <w:t xml:space="preserve">. Ievērojot minēto, kā arī to, ka likumprojektā "Grozījumi Revīzijas pakalpojumu likumā" (turpmāk – projekts) paredzētajā Revīzijas pakalpojumu likuma (turpmāk – likums) 4.1 daļā ir ietverts deklaratīvs regulējums, lūdzam to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papildināt projektu ar grozījumu likuma 38.</w:t>
            </w:r>
            <w:r w:rsidR="00000000" w:rsidRPr="00000000" w:rsidDel="00000000">
              <w:rPr>
                <w:vertAlign w:val="superscript"/>
                <w:rtl w:val="0"/>
              </w:rPr>
              <w:t xml:space="preserve">2</w:t>
            </w:r>
            <w:r w:rsidR="00000000" w:rsidRPr="00000000" w:rsidDel="00000000">
              <w:rPr>
                <w:rtl w:val="0"/>
              </w:rPr>
              <w:t xml:space="preserve"> panta pirmajā daļā, kas paredz izslēgt regulējumu par to, ka kārtību, kādā Finanšu ministrija izdod administratīvos aktus (lēmumus), nosaka administratīvo aktu izdošanas kārtību reglamentējoši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pārvaldes iekārtas likuma 41. panta trešās daļas 1. punkts noteic, ka </w:t>
            </w:r>
            <w:r w:rsidR="00000000" w:rsidRPr="00000000" w:rsidDel="00000000">
              <w:rPr>
                <w:u w:val="single"/>
                <w:rtl w:val="0"/>
              </w:rPr>
              <w:t xml:space="preserve">privātpersonai papildus šā panta otrajā daļā minētajam nevar deleģēt administratīvo aktu izdošanu, izņemot gadījumus, kad tas paredzēts ārējā normatīvajā aktā</w:t>
            </w:r>
            <w:r w:rsidR="00000000" w:rsidRPr="00000000" w:rsidDel="00000000">
              <w:rPr>
                <w:rtl w:val="0"/>
              </w:rPr>
              <w:t xml:space="preserve">. Lai gan no atsevišķām likuma tiesību normām (piemēram, likuma 6. panta ceturtās daļas 3. punkta) var secināt, ka Latvijas Zvērinātu revidentu asociācija, pildot tai deleģētus valsts pārvaldes uzdevumus, izdod administratīvos aktus, tomēr likumā nav skaidri noteikts, kādus administratīvos aktus izdod Latvijas Zvērinātu revidentu asociācija, pildot tai deleģētos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likumā nav skaidri noteikts, kādi valsts pārvaldes uzdevumi ir deleģēti Latvijas Zvērinātu revidentu asociācijai.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papildināt projektu ar atbilstošiem grozījumiem likumā, kā arī precizēt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ietverto informāciju par projektā paredzētajiem likuma 6. pantā ietvertajiem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piemēram, likuma 38.</w:t>
            </w:r>
            <w:r w:rsidR="00000000" w:rsidRPr="00000000" w:rsidDel="00000000">
              <w:rPr>
                <w:vertAlign w:val="superscript"/>
                <w:rtl w:val="0"/>
              </w:rPr>
              <w:t xml:space="preserve">2</w:t>
            </w:r>
            <w:r w:rsidR="00000000" w:rsidRPr="00000000" w:rsidDel="00000000">
              <w:rPr>
                <w:rtl w:val="0"/>
              </w:rPr>
              <w:t xml:space="preserve"> panta ceturtās daļas 1. punktā ir minēts brīdinājums, nav skaidrs, kādēļ projektā paredzētajā likuma 17. panta 2.</w:t>
            </w:r>
            <w:r w:rsidR="00000000" w:rsidRPr="00000000" w:rsidDel="00000000">
              <w:rPr>
                <w:vertAlign w:val="superscript"/>
                <w:rtl w:val="0"/>
              </w:rPr>
              <w:t xml:space="preserve">1</w:t>
            </w:r>
            <w:r w:rsidR="00000000" w:rsidRPr="00000000" w:rsidDel="00000000">
              <w:rPr>
                <w:rtl w:val="0"/>
              </w:rPr>
              <w:t xml:space="preserve"> daļā un 23. panta 3.</w:t>
            </w:r>
            <w:r w:rsidR="00000000" w:rsidRPr="00000000" w:rsidDel="00000000">
              <w:rPr>
                <w:vertAlign w:val="superscript"/>
                <w:rtl w:val="0"/>
              </w:rPr>
              <w:t xml:space="preserve">1 </w:t>
            </w:r>
            <w:r w:rsidR="00000000" w:rsidRPr="00000000" w:rsidDel="00000000">
              <w:rPr>
                <w:rtl w:val="0"/>
              </w:rPr>
              <w:t xml:space="preserve">daļā ir ietverta atsauce uz visu likuma 38.</w:t>
            </w:r>
            <w:r w:rsidR="00000000" w:rsidRPr="00000000" w:rsidDel="00000000">
              <w:rPr>
                <w:vertAlign w:val="superscript"/>
                <w:rtl w:val="0"/>
              </w:rPr>
              <w:t xml:space="preserve">2</w:t>
            </w:r>
            <w:r w:rsidR="00000000" w:rsidRPr="00000000" w:rsidDel="00000000">
              <w:rPr>
                <w:rtl w:val="0"/>
              </w:rPr>
              <w:t xml:space="preserve"> panta ceturto daļu. Ievērojot minēto, lūdzam izvērtēt projektā paredzētajā likuma 17. panta 2.</w:t>
            </w:r>
            <w:r w:rsidR="00000000" w:rsidRPr="00000000" w:rsidDel="00000000">
              <w:rPr>
                <w:vertAlign w:val="superscript"/>
                <w:rtl w:val="0"/>
              </w:rPr>
              <w:t xml:space="preserve">1</w:t>
            </w:r>
            <w:r w:rsidR="00000000" w:rsidRPr="00000000" w:rsidDel="00000000">
              <w:rPr>
                <w:rtl w:val="0"/>
              </w:rPr>
              <w:t xml:space="preserve"> daļā un 23. panta 3.</w:t>
            </w:r>
            <w:r w:rsidR="00000000" w:rsidRPr="00000000" w:rsidDel="00000000">
              <w:rPr>
                <w:vertAlign w:val="superscript"/>
                <w:rtl w:val="0"/>
              </w:rPr>
              <w:t xml:space="preserve">1</w:t>
            </w:r>
            <w:r w:rsidR="00000000" w:rsidRPr="00000000" w:rsidDel="00000000">
              <w:rPr>
                <w:rtl w:val="0"/>
              </w:rPr>
              <w:t xml:space="preserve"> daļā ietverto regulējumu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pants. Licences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saņemtu licenci, tās pieprasītājs - komercsabiedrība, kas atbilst šā likuma 21.panta pirmajā, otrajā, trešajā, ceturtajā un piektajā daļā noteiktajiem kritērijiem, iesniedz Latvijas Zvērinātu revidentu asociācijai pieteikumu un citus Ministru kabineta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Latvijas Zvērinātu revidentu asociācija 30 dienu laikā no pieteikuma saņemšanas dienas pieņem lēmumu par licences izsniegšanu vai atteikumu izsniegt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Latvijas Zvērinātu revidentu asociācija šā panta otrajā daļā noteiktajā termiņā nav pieņēmusi lēmumu par atteikumu izsniegt licenci, tad uzskatāms, ka Latvijas Zvērinātu revidentu asociācija ir pieņēmusi lēmumu par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Latvijas Zvērinātu revidentu asociācija ir pieņēmusi lēmumu par atteikumu izsniegt licenci, licences pieprasītājs ir tiesīgs pēc lēmumā minēto trūkumu novēršanas iesniegt Latvijas Zvērinātu revidentu asociācijai jaunu licences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Pirms licences saņemšanas zvērinātu revidentu komercsabiedrība samaksā Latvijas Zvērinātu revidentu asociācijai valdes noteikto maksu. Maksas apmēru Latvijas Zvērinātu revidentu asociācija saskaņo ar Finanšu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2023. gada 1. jūlijā stāsies spēkā grozījumi Komerclikumā, kas cita starpā paredzēs, ka termins "vārda akcijas" tiks aizvietots ar terminu "reģistrētas akcijas". Ņemot vērā minēto aicinām precizēt Revīzijas pakalpojumu likuma 21. panta piekto daļu, kas nosaka, ka, ja zvērinātu revidentu komercsabiedrība ir akciju sabiedrība, tā drīkst izlaist tikai vārda 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pants. Licences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saņemtu licenci, tās pieprasītājs - komercsabiedrība, kas atbilst šā likuma 21.panta pirmajā, otrajā, trešajā, ceturtajā un piektajā daļā noteiktajiem kritērijiem, iesniedz Latvijas Zvērinātu revidentu asociācijai pieteikumu un citus Ministru kabineta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Latvijas Zvērinātu revidentu asociācija 30 dienu laikā no pieteikuma saņemšanas dienas pieņem lēmumu par licences izsniegšanu vai atteikumu izsniegt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Latvijas Zvērinātu revidentu asociācija šā panta otrajā daļā noteiktajā termiņā nav pieņēmusi lēmumu par atteikumu izsniegt licenci, tad uzskatāms, ka Latvijas Zvērinātu revidentu asociācija ir pieņēmusi lēmumu par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Latvijas Zvērinātu revidentu asociācija ir pieņēmusi lēmumu par atteikumu izsniegt licenci, licences pieprasītājs ir tiesīgs pēc lēmumā minēto trūkumu novēršanas iesniegt Latvijas Zvērinātu revidentu asociācijai jaunu licences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Pirms licences saņemšanas zvērinātu revidentu komercsabiedrība samaksā Latvijas Zvērinātu revidentu asociācijai valdes noteikto maksu. Maksas apmēru Latvijas Zvērinātu revidentu asociācija saskaņo ar Finanšu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18. panta pirmā daļa noteic, ka </w:t>
            </w:r>
            <w:r w:rsidR="00000000" w:rsidRPr="00000000" w:rsidDel="00000000">
              <w:rPr>
                <w:u w:val="single"/>
                <w:rtl w:val="0"/>
              </w:rPr>
              <w:t xml:space="preserve">administratīvais process iestādē privātpersonai ir bez maksas</w:t>
            </w:r>
            <w:r w:rsidR="00000000" w:rsidRPr="00000000" w:rsidDel="00000000">
              <w:rPr>
                <w:rtl w:val="0"/>
              </w:rPr>
              <w:t xml:space="preserve">,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pārvaldes iekārtas likuma 43.</w:t>
            </w:r>
            <w:r w:rsidR="00000000" w:rsidRPr="00000000" w:rsidDel="00000000">
              <w:rPr>
                <w:vertAlign w:val="superscript"/>
                <w:rtl w:val="0"/>
              </w:rPr>
              <w:t xml:space="preserve">1 </w:t>
            </w:r>
            <w:r w:rsidR="00000000" w:rsidRPr="00000000" w:rsidDel="00000000">
              <w:rPr>
                <w:rtl w:val="0"/>
              </w:rPr>
              <w:t xml:space="preserve">panta otrā daļa noteic, ka </w:t>
            </w:r>
            <w:r w:rsidR="00000000" w:rsidRPr="00000000" w:rsidDel="00000000">
              <w:rPr>
                <w:u w:val="single"/>
                <w:rtl w:val="0"/>
              </w:rPr>
              <w:t xml:space="preserve">Latvijas Republikas valsts pārvaldes uzdevuma ietvaros privātpersonu sniegto pakalpojumu maksas apmēru vai tā noteikšanas un apstiprināšanas kārtību, kā arī atbrīvojumus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likuma 22. panta piekto daļu, kā arī papildināt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pants. Licences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saņemtu licenci, tās pieprasītājs - komercsabiedrība, kas atbilst šā likuma 21.panta pirmajā, otrajā, trešajā, ceturtajā un piektajā daļā noteiktajiem kritērijiem, iesniedz Latvijas Zvērinātu revidentu asociācijai pieteikumu un citus Ministru kabineta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Latvijas Zvērinātu revidentu asociācija 30 dienu laikā no pieteikuma saņemšanas dienas pieņem lēmumu par licences izsniegšanu vai atteikumu izsniegt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Latvijas Zvērinātu revidentu asociācija šā panta otrajā daļā noteiktajā termiņā nav pieņēmusi lēmumu par atteikumu izsniegt licenci, tad uzskatāms, ka Latvijas Zvērinātu revidentu asociācija ir pieņēmusi lēmumu par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Latvijas Zvērinātu revidentu asociācija ir pieņēmusi lēmumu par atteikumu izsniegt licenci, licences pieprasītājs ir tiesīgs pēc lēmumā minēto trūkumu novēršanas iesniegt Latvijas Zvērinātu revidentu asociācijai jaunu licences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Pirms licences saņemšanas zvērinātu revidentu komercsabiedrība samaksā Latvijas Zvērinātu revidentu asociācijai valdes noteikto maksu. Maksas apmēru Latvijas Zvērinātu revidentu asociācija saskaņo ar Finanšu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Brīvas pakalpojumu sniegšanas likuma 14. panta sestajā daļā noteiktajam </w:t>
            </w:r>
            <w:r w:rsidR="00000000" w:rsidRPr="00000000" w:rsidDel="00000000">
              <w:rPr>
                <w:u w:val="single"/>
                <w:rtl w:val="0"/>
              </w:rPr>
              <w:t xml:space="preserve">uzskatāms, ka atļauja ir izsniegta ar noklusējumu, ja normatīvajā aktā noteiktajā termiņā atbildīgā iestāde nepieņem un nepaziņo savu lēmumu par atļaujas piešķiršanu vai atteikumu to piešķirt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Brīvas pakalpojumu sniegšanas likuma 14. panta astotā daļa noteic, ka,</w:t>
            </w:r>
            <w:r w:rsidR="00000000" w:rsidRPr="00000000" w:rsidDel="00000000">
              <w:rPr>
                <w:u w:val="single"/>
                <w:rtl w:val="0"/>
              </w:rPr>
              <w:t xml:space="preserve"> piemērojot normatīvajā aktā noteikto noklusējumu, lēmuma par atļaujas izsniegšanu pieņemšanas termiņš tiek skaitīts no dienas, kad par atļaujas izsniegšanu atbildīgā iestāde no atļaujas pieteicēja ir saņēmusi visu normatīvajos aktos noteikto informāciju (dokumentāciju) lēmuma pieņemšanai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22. panta otrajā, trešajā un ceturtajā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pants. Licences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saņemtu licenci, tās pieprasītājs - komercsabiedrība, kas atbilst šā likuma 21.panta pirmajā, otrajā, trešajā, ceturtajā un piektajā daļā noteiktajiem kritērijiem, iesniedz Latvijas Zvērinātu revidentu asociācijai pieteikumu un citus Ministru kabineta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Latvijas Zvērinātu revidentu asociācija 30 dienu laikā no pieteikuma saņemšanas dienas pieņem lēmumu par licences izsniegšanu vai atteikumu izsniegt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Latvijas Zvērinātu revidentu asociācija šā panta otrajā daļā noteiktajā termiņā nav pieņēmusi lēmumu par atteikumu izsniegt licenci, tad uzskatāms, ka Latvijas Zvērinātu revidentu asociācija ir pieņēmusi lēmumu par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Latvijas Zvērinātu revidentu asociācija ir pieņēmusi lēmumu par atteikumu izsniegt licenci, licences pieprasītājs ir tiesīgs pēc lēmumā minēto trūkumu novēršanas iesniegt Latvijas Zvērinātu revidentu asociācijai jaunu licences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Pirms licences saņemšanas zvērinātu revidentu komercsabiedrība samaksā Latvijas Zvērinātu revidentu asociācijai valdes noteikto maksu. Maksas apmēru Latvijas Zvērinātu revidentu asociācija saskaņo ar Finanšu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62. punkts noteic, ka </w:t>
            </w:r>
            <w:r w:rsidR="00000000" w:rsidRPr="00000000" w:rsidDel="00000000">
              <w:rPr>
                <w:u w:val="single"/>
                <w:rtl w:val="0"/>
              </w:rPr>
              <w:t xml:space="preserve">likumprojektā neietver atsauces uz zemāka juridiskā spēka normatīvo aktu</w:t>
            </w:r>
            <w:r w:rsidR="00000000" w:rsidRPr="00000000" w:rsidDel="00000000">
              <w:rPr>
                <w:rtl w:val="0"/>
              </w:rPr>
              <w:t xml:space="preserve">, kā arī uz normatīvo aktu, kas vēl nav stājies spēkā. Atsauce var norādīt uz normatīvo aktu, kas vēl nav stājies spēkā, ja tas stāsies spēkā pirms likumprojekta stāšanās spēkā vai vienlaikus ar to. Turklāt Ministru kabineta 2009. gada 3. februāra noteikumu Nr. 108 "Normatīvo aktu projektu sagatavošanas noteikumi" 61. un 63. punkts noteic, kā likumprojektos raksta atsauces uz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projektā paredzētajā likuma 22. panta pirmajā daļā ir ietverta atsauce uz Ministru kabineta noteikumiem. Turklāt nav skaidrs, kas ir minētie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šobrīd spēkā esošajā likuma 22. panta pirmajā daļā ir ietverts pilnvarojums Ministru kabinetam izdot noteikumus. Savukārt projektā paredzētajā likuma 22. panta pirmajā daļā nav paredzēts pilnvarojums Ministru kabinetam izdot noteikumus, kaut arī no anotācijas 4.1.1. apakšsadaļā ietvertās informācijas izriet, ka projektā paredzētajā likuma 22. panta pirmajā daļā ir paredzēts pilnvarojums Ministru kabinetam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22. panta pirmajā daļā ietverto regulējumu, kā arī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pants. Licences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saņemtu licenci, tās pieprasītājs - komercsabiedrība, kas atbilst šā likuma 21.panta pirmajā, otrajā, trešajā, ceturtajā un piektajā daļā noteiktajiem kritērijiem, iesniedz Latvijas Zvērinātu revidentu asociācijai pieteikumu un citus Ministru kabineta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Latvijas Zvērinātu revidentu asociācija 30 dienu laikā no pieteikuma saņemšanas dienas pieņem lēmumu par licences izsniegšanu vai atteikumu izsniegt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Latvijas Zvērinātu revidentu asociācija šā panta otrajā daļā noteiktajā termiņā nav pieņēmusi lēmumu par atteikumu izsniegt licenci, tad uzskatāms, ka Latvijas Zvērinātu revidentu asociācija ir pieņēmusi lēmumu par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Latvijas Zvērinātu revidentu asociācija ir pieņēmusi lēmumu par atteikumu izsniegt licenci, licences pieprasītājs ir tiesīgs pēc lēmumā minēto trūkumu novēršanas iesniegt Latvijas Zvērinātu revidentu asociācijai jaunu licences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Pirms licences saņemšanas zvērinātu revidentu komercsabiedrība samaksā Latvijas Zvērinātu revidentu asociācijai valdes noteikto maksu. Maksas apmēru Latvijas Zvērinātu revidentu asociācija saskaņo ar Finanšu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likumā tiek lietots termins "iesniegums", nevis termins "pieteikums". Administratīvā procesa likuma 3. panta pirmā daļa noteic, ka šo likumu piemēro administratīvajā procesā iestādē, ciktāl citu likumu speciālajās tiesību normās nav noteikta cita kārtība. Līdz ar to, ja speciālajās tiesību normās ir nepieciešams noteikt citādāku regulējumu, nekā to paredz Administratīvā procesa likums, anotācijā jānorāda attiecīgs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22. pantā lietoto terminu "pieteikums" vai papildināt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36.panta ceturtās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sešu mēnešu laikā no dienas, kad saņemts lēmums par licences darbības apturēšanu, vai divpadsmit mēnešu laikā, ja licences darbības apturēšana bija nepieciešama saistībā ar mantojuma lietu kārtošanu, zvērinātu revidentu komercsabiedrība nav novērsusi minētos pārkāpumus, tiek pieņemts lēmums anulēt izsniegto licenci.".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mantojuma lietas kārtošana nav pārkāpums, lūdzam precizēt projektā paredzēto likuma 36. panta ceturtās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noteicošas normas nevar atzīt par neskaidrām tāpēc vien, ka to saturs noskaidrojams, pamatojoties uz citām tiesību normām vai normatīvajiem aktiem (</w:t>
            </w:r>
            <w:r w:rsidR="00000000" w:rsidRPr="00000000" w:rsidDel="00000000">
              <w:rPr>
                <w:i w:val="1"/>
                <w:rtl w:val="0"/>
              </w:rPr>
              <w:t xml:space="preserve">sal. Satversmes tiesas 2021. gada 19. februāra sprieduma lietā Nr. 2020-23-01 15. punkts</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ietvertajam pārkāpuma aprakstam, lai arī ļoti vispārīgi, bet ir jāsatur visas pārkāpuma pazīmes. Atsauces uz nacionālajiem normatīvajiem aktiem pārkāpuma pazīmju formulējumā vispār nav nepieciešamas un nav vēlamas. Izņēmums sodu tiesību sistēmā tiek pieļauts vienīgi attiecībā uz informatīvām atsaucēm uz ES regulu vienībām. Taču arī tad ir jānorāda visas pārkāpuma pazīmes, atsauce ir tikai papildu informatīva norāde. Arī no juridiskās tehniskas viedokļa atsauču lietojumam jābūt tādam, lai projekta regulējumu varētu vispārīgi saprast, neizlasot atsaucē norādīto cita normatīvā akta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projektā pienācīgi ietvert to pārkāpumu regulējumu, par kuriem piemērojamas sankcijas vai administratīvie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grozāmā likuma 37.</w:t>
            </w:r>
            <w:r w:rsidR="00000000" w:rsidRPr="00000000" w:rsidDel="00000000">
              <w:rPr>
                <w:vertAlign w:val="superscript"/>
                <w:rtl w:val="0"/>
              </w:rPr>
              <w:t xml:space="preserve">10</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daļā kā administratīvie pasākumi ir norādīti: 1) pieprasījums, lai par pārkāpumu atbildīgā persona izbeidz attiecīgu darbību; 2) pagaidu aizliegums komercsabiedrības padomes vai valdes loceklim, kurš ir atbildīgs par attiecīgo pārkāpumu, uz laiku līdz trim gadiem pildīt viņam noteiktos pienākumus komercsabiedrībā.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ietverts pamatojums, kāpēc šie pasākumi nav atzīstami par sankcijām (sodiem). Ja par pirmo no iepriekš minētajiem pasākumiem īpaši jautājumi vēl nerodas, tad otrā pasākuma – pagaidu aizlieguma pildīt pienākumus – piederība administratīvajiem pasākumiem nepavisam nav pašsaprotama un viennozīmīga. Projekta anotācijā ir vienīgi norādīts: "Līdz ar to ir nepieciešams precizēt Likuma 37.</w:t>
            </w:r>
            <w:r w:rsidR="00000000" w:rsidRPr="00000000" w:rsidDel="00000000">
              <w:rPr>
                <w:vertAlign w:val="superscript"/>
                <w:rtl w:val="0"/>
              </w:rPr>
              <w:t xml:space="preserve">10</w:t>
            </w:r>
            <w:r w:rsidR="00000000" w:rsidRPr="00000000" w:rsidDel="00000000">
              <w:rPr>
                <w:rtl w:val="0"/>
              </w:rPr>
              <w:t xml:space="preserve"> pantu, lai nodalītu sankcijas no administratīvajiem pasākumiem pēc analoģijas ar citiem finanšu nozari regulējošajiem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Krimināltiesiska (sodoša) rakstura administratīvo sankciju jeb sodu norobežošanas kritēriji ir norādīti projekta anotācijā minētajā Tieslietu ministrija 2021. gada 5. maija vēstulē Nr. 1-13.4/2019 par vienotu sankciju un uzraudzības pasākumu piemērošanu visiem zvērinātiem revidentiem. Projekta kontekstā uzmanība pievēršama galvenokārt pasākuma mērķim un bardzībai. Projekta anotācijā ir jāietver argumentēts šo kritēriju izvērtējums, kas pamatotu, ka minētajiem administratīvajiem pasākumiem nepiemīt soda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minams Ieguldījumu brokeru sabiedrību likuma 72. panta pirmās daļas 2. punkts (šāda veida aizliegumu var piemērot vien līdz galīgā nolēmuma spēkā stāšanās brīdim, bet ne ilgāk kā divus gadus) un Privāto pensiju fondu likuma 41. panta 6.</w:t>
            </w:r>
            <w:r w:rsidR="00000000" w:rsidRPr="00000000" w:rsidDel="00000000">
              <w:rPr>
                <w:vertAlign w:val="superscript"/>
                <w:rtl w:val="0"/>
              </w:rPr>
              <w:t xml:space="preserve">4</w:t>
            </w:r>
            <w:r w:rsidR="00000000" w:rsidRPr="00000000" w:rsidDel="00000000">
              <w:rPr>
                <w:rtl w:val="0"/>
              </w:rPr>
              <w:t xml:space="preserve"> daļas 2. punkts (piemēro "līdz pārkāpuma novēršanas brīdim, bet ne ilgāk kā divus gadus"). Turpretī projektā paredzētais aizliegums nav ierobežots ne ar kādu nosacījumu, kas liecinātu par tā "pagaidu" raksturu. Vienlaikus arī "pagaidu" pasākums var radīt konkrētajā situācijā pietiekami smagas sekas, lai tam piemistu jau soda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likumu ar jaunu 37.</w:t>
            </w:r>
            <w:r w:rsidR="00000000" w:rsidRPr="00000000" w:rsidDel="00000000">
              <w:rPr>
                <w:vertAlign w:val="superscript"/>
                <w:rtl w:val="0"/>
              </w:rPr>
              <w:t xml:space="preserve">11</w:t>
            </w:r>
            <w:r w:rsidR="00000000" w:rsidRPr="00000000" w:rsidDel="00000000">
              <w:rPr>
                <w:rtl w:val="0"/>
              </w:rPr>
              <w:t xml:space="preserve"> pantu, kurā paredzēts regulējums par noilgumu. Savukārt anotācijā nav skaidrojuma par šāda regulējumu nepieciešamību. Ievērojot minēto, lūdzam izvērtēt projektā paredzētajā likuma 37.</w:t>
            </w:r>
            <w:r w:rsidR="00000000" w:rsidRPr="00000000" w:rsidDel="00000000">
              <w:rPr>
                <w:vertAlign w:val="superscript"/>
                <w:rtl w:val="0"/>
              </w:rPr>
              <w:t xml:space="preserve">11</w:t>
            </w:r>
            <w:r w:rsidR="00000000" w:rsidRPr="00000000" w:rsidDel="00000000">
              <w:rPr>
                <w:rtl w:val="0"/>
              </w:rPr>
              <w:t xml:space="preserve"> pantā ietverto regulējumu un nepieciešamības gadījumā precizēt to, kā arī papildināt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w:t>
            </w:r>
            <w:r w:rsidR="00000000" w:rsidRPr="00000000" w:rsidDel="00000000">
              <w:rPr>
                <w:vertAlign w:val="superscript"/>
                <w:rtl w:val="0"/>
              </w:rPr>
              <w:t xml:space="preserve">2</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Grozāmā likuma 38.</w:t>
            </w:r>
            <w:r w:rsidR="00000000" w:rsidRPr="00000000" w:rsidDel="00000000">
              <w:rPr>
                <w:vertAlign w:val="superscript"/>
                <w:rtl w:val="0"/>
              </w:rPr>
              <w:t xml:space="preserve">2</w:t>
            </w:r>
            <w:r w:rsidR="00000000" w:rsidRPr="00000000" w:rsidDel="00000000">
              <w:rPr>
                <w:rtl w:val="0"/>
              </w:rPr>
              <w:t xml:space="preserve"> panta trešajā daļā noteikts, ka Finanšu ministrijas administratīvā akta (lēmuma), kas izdots saistībā ar šajā pantā minētajām sankcijām un uzraudzības pasākumiem, pārsūdzēšana neaptur šā akta (lēmuma) darbību. Lūdzam izvērtēt šāda regulējuma pieļaujamību. Ir pavisam skaidrs, ka to nevarētu attiecināt uz soda naudu (naudas sodiem) vai pat visiem sodiem. Salīdzinājumam skatīt, piemēram, Ieguldījumu brokeru sabiedrību likuma 77.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w:t>
            </w:r>
            <w:r w:rsidR="00000000" w:rsidRPr="00000000" w:rsidDel="00000000">
              <w:rPr>
                <w:vertAlign w:val="superscript"/>
                <w:rtl w:val="0"/>
              </w:rPr>
              <w:t xml:space="preserve">2</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Grozāmā likuma IX nodaļā ir saglabāts uzraudzības pasākumu institūts. Līdz ar to rodas jautājums, kā šie pasākumi atšķiras no VIII</w:t>
            </w:r>
            <w:r w:rsidR="00000000" w:rsidRPr="00000000" w:rsidDel="00000000">
              <w:rPr>
                <w:vertAlign w:val="superscript"/>
                <w:rtl w:val="0"/>
              </w:rPr>
              <w:t xml:space="preserve">1</w:t>
            </w:r>
            <w:r w:rsidR="00000000" w:rsidRPr="00000000" w:rsidDel="00000000">
              <w:rPr>
                <w:rtl w:val="0"/>
              </w:rPr>
              <w:t xml:space="preserve"> nodaļā paredzētajiem administratīvajiem pasākumiem un kāpēc tiek veidoti divi dažādi institūti. Tāpat grozāmā likuma IX nodaļā netiek nošķirtas sankcijas (sodi) un minētie uzraudzības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šīs nodaļas regulējumu. Ja tiek saglabāti "uzraudzības pasākumi", lūdzam raksturot šo pasākumu būtību un to atšķirību no likumā (projektā) minētajiem administratīvajiem pasākumiem. Tāpat nodalāmas sankcijas un nesodoša rakstura pasākumi (uzraudzības, administratīvie pasākumi). Projekta anotācijā ietverams pamatojums, kāpēc konkrētie pasākumi nav atzīstami par sankcijām (sodiem).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Finanšu ministrija ir tiesīga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ceturtās daļas 1., 2., 3., 4., 5., 6. un 7.punktā noteiktās sankcijas un uzraudzības pasākumus tiem zvērinātiem revidentiem un zvērinātu revidentu komercsabiedrībām, kas sniedz revīzijas pakalpojumus sabiedriskas nozīmes struktūrām - par šā likuma un regulas Nr. 537/2014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ceturtās daļas 2., 3., 4., 5., 6. un 7.punktā noteiktās sankcijas un uzraudzības pasākumus tiem zvērinātiem revidentiem un zvērinātu revidentu komercsabiedrībām, kas sniedz revīzijas pakalpojumus klientiem, kas nav sabiedriskas nozīmes struktūras - par šā likuma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grozāmā likuma 38.</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ir norādīti tie gadījumi, kad Finanšu ministrija var piemērot sankcijas vai uzraudzības pasākumus. Citiem vārdiem, šī likuma vienība noteiks iespējamos pārkāpumus. Taču pārkāpumus nav pieļaujams noteikt (formulēt) tādā veidā kā "par šā likuma prasību neievērošanu" vai "par regulas Nr. 537/2014 prasību neievērošanu". Pārkāpumi jānorāda skaidri, saprotami, konkrēti un paredzami, ietverot visas nepieciešamās pārkāpuma pazīmes (plašāk skatīt iebildumu par grozāmā likuma 37.</w:t>
            </w:r>
            <w:r w:rsidR="00000000" w:rsidRPr="00000000" w:rsidDel="00000000">
              <w:rPr>
                <w:vertAlign w:val="superscript"/>
                <w:rtl w:val="0"/>
              </w:rPr>
              <w:t xml:space="preserve">10</w:t>
            </w:r>
            <w:r w:rsidR="00000000" w:rsidRPr="00000000" w:rsidDel="00000000">
              <w:rPr>
                <w:rtl w:val="0"/>
              </w:rPr>
              <w:t xml:space="preserve"> pantā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ietvert atbilstošu pārkāpumu formulējumu (salīdzinājumam skatīt, piemēram, Ieguldījumu brokeru sabiedrību likuma 73. pantu vai Privāto pensiju fondu likuma 41. panta 6.</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Latvijas Zvērinātu revidentu asociācija atbilstoši šā panta pirmajai daļai nosakot sankciju vai uzraudzības pasākumu veidu un apmēru, ņem vērā visus būtiskos apstākļus, tostarp šā panta piektajā daļā minētos apstākļus.";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 grozāmā likuma 38.</w:t>
            </w:r>
            <w:r w:rsidR="00000000" w:rsidRPr="00000000" w:rsidDel="00000000">
              <w:rPr>
                <w:vertAlign w:val="superscript"/>
                <w:rtl w:val="0"/>
              </w:rPr>
              <w:t xml:space="preserve">2</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daļa paredz, ka Latvijas Zvērinātu revidentu asociācija atbilstoši šā panta pirmajai daļai nosakot sankciju vai uzraudzības pasākumu veidu un apmēru, ņem vērā visus būtiskos apstākļus, tostarp šā panta piektajā daļā minētos apstākļus. Nav saprotams, kā šāds regulējums būtu savienojams ar prasību, ka minētā asociācija kā privātpersona nevar piemērot krimināltiesiska rakstura administratīvās sankcijas vai veikt citus ar to cieši saistītus uzdevumus. Projekta anotācijā šim regulējumam nav atrodams argumentēts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ir veidotas arī atsauces uz Eiropas Parlamenta un Padomes 2014. gada 16. aprīļa regulu (ES) Nr. 537/2014 par īpašām prasībām attiecībā uz obligātajām revīzijām sabiedriskas nozīmes struktūrās un ar ko atceļ Komisijas lēmumu 2005/909/EK un Eiropas Parlamenta un Padomes 2016.gada 27.aprīļa Regula (ES) 2016/679 par fizisku personu aizsardzību attiecībā uz personas datu apstrādi un šādu datu brīvu apriti un ar ko atceļ Direktīvu 95/46/EK, tādēļ aicinām papildināt anotācijas 5. sadaļas tabulu "Tiesību akta projekta atbilstība ES tiesību aktiem", norādot visus ES tiesību aktus, kas ir norādīti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Sabiedriskas nozīmes struktūras pienākums ir rakstiski informēt Latvijas Banku par revīzijas komitejas vai tai līdzvērtīgas struktūras izveidošanu, tās sastāvu un jebkurām izmaiņām revīzijas komitejas sastāvā. Ja sabiedriskas nozīmes struktūra piemēro likumā paredzēto izņēmumu un revīzijas komiteju neveido, tā informē Latvijas Banku par attiecīgo pamatojumu. Latvijas Banka ir tiesīga izdot normatīvos noteikumos, nosakot iesniedzamās informācijas apjomu un termiņu, kādā sabiedriskas nozīmes struktūra sniedz ziņas par revīzijas komitejas vai tai līdzvērtīgas struktūras izveidošanu, tās sastāvu un izmaiņām revīzijas komitejas sastāvā vai arī pamatojumu tās neveidošanai.".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trešo teikumu un izteikt "normatīvos noteikumos" pareizajā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22-TA-3414</w:t>
    </w:r>
    <w:r>
      <w:br/>
    </w:r>
    <w:r w:rsidR="00000000" w:rsidRPr="00000000" w:rsidDel="00000000">
      <w:rPr>
        <w:rtl w:val="0"/>
      </w:rPr>
      <w:t xml:space="preserve">Izdrukāts 21.04.2023.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22-TA-3414</w:t>
    </w:r>
    <w:r>
      <w:br/>
    </w:r>
    <w:r w:rsidR="00000000" w:rsidRPr="00000000" w:rsidDel="00000000">
      <w:rPr>
        <w:rtl w:val="0"/>
      </w:rPr>
      <w:t xml:space="preserve">Izdrukāts 21.04.2023.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Atzinumi_22-TA-3414.docx</dc:title>
</cp:coreProperties>
</file>

<file path=docProps/custom.xml><?xml version="1.0" encoding="utf-8"?>
<Properties xmlns="http://schemas.openxmlformats.org/officeDocument/2006/custom-properties" xmlns:vt="http://schemas.openxmlformats.org/officeDocument/2006/docPropsVTypes"/>
</file>