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pirms projekta iesniegšanas sadarbības iestādē izstrādā sadarbības līguma projektu ar sadarbības partneri par projektā sadarbības partnerim plānoto  darbību īstenošanu (turpmāk – sadarbības līguma projekts). Sadarbības līguma projektā iekļauj informāciju atbilstoši normatīvajiem aktiem par kārtību, kādā Eiropas Savienības fondu vadībā iesaistītās institūcijas nodrošina šo fondu ieviešanu Eiropas Savienības kohēzijas politikas programmas 2021. – 2027. gadam plānošanas periodā, kā arī iekļauj finansējuma saņēmēja un sadarbības partnera sadarbības nosacījumus, pienākumus un tiesības,  projekta mērķu un rādītāju savstarpējās sasniegšanas dalījumu u.c. nosacījumus. Sadarbības līguma projekts ir projekta iesnieguma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normatīvajos aktos noregulētajai tiesību normai ir jābūt skaidrai un nepārprotamai, lūdzam precizēt noteikumu projekta 14.punkta redakciju, vai papildināt noteikumus ar jaunu punktu, kas skaidri norāda, ka projekta iesniedzējs ar sadarbības partneri slēdz rakstveida sadarbības līgumu par pušu pienākumiem, tiesībām un atbildību projekta mērķa, rezultātu un rādītāju sasniegšanā noteikumos minēto prasību īstenošanā. Vēršam uzmanību, ka pretējā gadījumā rodas interpretācijas problēmas par tiesiskajām attiecībām starp finansējuma saņēmēju un sadarbības partneri.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klasisks investīciju projekts, kura mērķis ir ietaupīt valsts pārvaldes finanšu resursus ilgtermiņā, līdz ar to ir nepieciešams pārliecināties, vai sabiedrības ieguvumi ir lielāki par projekta investīciju un uzturēšanas izmaksām projekta dzīves cikla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pamatojums anotācijā par to, ka izmaksu un ieguvumu analīze nav jāveic, ir kļūdains un nav objektīvs,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būtības neto ienākumu esamība vai neesamība projektā nav arguments izmaksu un ieguvumu analīzes neveikšanai. Mērķis ir pārliecināties par pasākuma atdevi kopumā, nevis noteikt projekta deficīta likmi, kas saistīta ar neto ienākumu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pasākumu plānots īstenot ierobežotas projektu iesniegumu atlases veidā (pasākumā plānots viens projekts),  un projekta kopējās izmaksas ir 19 140 000 euro  (pārsniedz 1 miljonu euro). Ministru kabineta 2023. gada 13. jūnija sēdes protokollēmuma (prot. Nr. 36, 85. §) 3.punkts neparedz izmaksu un ieguvumu analīzi veikt atsevišķām darbībām, ja tās pārsniedz vienu miljonu euro. Izmaksu un ieguvumu analīze jāveic projektam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ka pasākuma ietvaros tiks sniegts ieguldījums Latvijas stratēģijas klimatneitralitātes sasniegšanai līdz 2050. gadam,  pārejot uz videi un klimatam draudzīgiem risinājumiem, nenozīmē, ka valsts drīkst nedomāt par publiskās pārvaldes projektu efektivitāti. Gluži pretēji – ja ieguvumi no energoefektivitātes pasākumiem nespēj nosegt projekta investīciju un uzturēšanas izmaksas projekta dzīves cikla laikā, tas nozīmē, ka virzība klimatneitralitātes mērķiem notiek neefektīvi.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veikt izmaksu un ieguvumu analīzi anotācijas ietvaros (tādējādi izpildot protokollēmumā noteikto), izmantojot CFLA sagatavoto izmaksu un ieguvumu analīzes automatizēto aprēķinu modeli, kā sociālekonomiskos ieguvumus aprēķinot, piemēram, siltumnīcefekta gāzu samazinājumu, kas izteikts naudas izteiksmē, bet kā finanšu ieguvumus aprēķinot, piemēram, enerģijas ietaupījumus, kas rodas energoefektivitātes projekta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plānoto investīciju ietekmi uz tautsaimniecību, norādot pēc iespējas izmērāmus faktiski sagaidāmos rezultātus/rādītājus. Skaidrojam, ka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2024. gadā līdz vienošanās par projekta īstenošanu noslēgšanai ar Centrālo finanšu un līgumu aģentūru kā Eiropas Savienības fondu 2021. – 2027.gada plānošanas perioda sadarbības iestādi (turpmāk – sadarbības iestāde) Eiropas Savienības kohēzijas politikas programmas 2021. – 2027. gadam 2.1.1. specifiskā atbalsta mērķa „Energoefektivitātes veicināšana un siltumnīcefekta gāzu emisiju samazināšana” 2.1.1.5. pasākuma „Klimata neitrāli risinājumi profesionālās izglītības iestāžu un koledžu izglītības programmās, vidē un infrastruktūrā” (turpmāk – 2.1.1.5. pasākums) projekta iesnieguma atlases kārtas īstenošanas uzsākšanai nepieciešamo finansējumu līdz 161 211 euro apmērā (tai skaitā Eiropas Reģionālās attīstības fonda finansējums 137 029 euro un valsts budžeta līdzfinansējums 24 182 euro) attiecināmo izmaksu segšanai Izglītības un zinātnes ministrija normatīvajos aktos noteiktajā kārtībā pieprasīs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17. jūlija noteikumu Nr. 421 "Kārtība, kādā veic gadskārtējā valsts budžeta likumā noteiktās apropriācijas izmaiņas" 24.2. apakšpunktā noteiktajam, no 80.00.00. programmas līdzekļus var pārdalīt izņēmuma kārtā pirms Eiropas Savienības fondu projektu iesnieguma apstiprināšanas sadarbības iestādē, ja Ministru kabinets, pamatojoties uz iesniegto argumentāciju un risku analīzi, ir pieņēmis lēmumu par konkrētā plānotā projekta izdevumu priekšfinansēšanu noteiktā apjomā un izdevumu pozīcijām atbilstoši projektā izvirzītajam mērķim. Lūdzam papildināt anotāciju ar atbilstošu argumentāciju un risku analīzi. Vēršam uzmanību, ka šobrīd anotācijā nav sniegta detalizēta informācija, kādām izdevumu pozīcijām (pievienojot aprēķinus) minētais finansējums 161 211 euro apmērā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pirms projekta iesniegšanas sadarbības iestādē izstrādā sadarbības līguma projektu ar sadarbības partneri par projektā sadarbības partnerim plānoto  darbību īstenošanu (turpmāk – sadarbības līguma projekts). Sadarbības līguma projektā iekļauj informāciju atbilstoši normatīvajiem aktiem par kārtību, kādā Eiropas Savienības fondu vadībā iesaistītās institūcijas nodrošina šo fondu ieviešanu Eiropas Savienības kohēzijas politikas programmas 2021. – 2027. gadam plānošanas periodā, kā arī iekļauj finansējuma saņēmēja un sadarbības partnera sadarbības nosacījumus, pienākumus un tiesības,  projekta mērķu un rādītāju savstarpējās sasniegšanas dalījumu u.c. nosacījumus. Sadarbības līguma projekts ir projekta iesnieguma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Savienības fondu 2021.-2027.gada plānošanas perioda likumā noteiktajam, ar projektu ir saprotams projekta iesniegums, kas atbilst projektu iesniegumu vērtēšanas kritērijiem un ko apstiprinājusi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lūdzam precizēt noteikumu projekta 14.punkta pirmo teikumu, nosakot, ka attiecīgā prasība nodrošināma pirms projekta iesnieguma iesniegšanas sadarbības iestādē. Minēto precizējumu nepieciešamība attiecas arī uz noteikumu projekta 15.punktu, tādējādi nodrošinot atbilstību tiesību normas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informācijas, dokumentu un pārskatu aprite;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16.4.apakšpunktu ar informāciju par papildinošās saimnieciskās darbības uzraudzību, lai gan finansējuma saņēmējam, gan sadarbības partnerim būtu skaidri noteikti nosacījumi par papildinošās saimnieciskās darbības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Attiecīgus precizējumus lūdzam veikt arī MK noteikumu anotācijas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informācijas, dokumentu un pārskatu, t.sk., papildinošās saimnieciskās darbības uzraudzības pārskatu, aprite;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projekta vadības un īstenošanas personāla (turpmāk – projekta personāls) atlīdzības izmaksas, izņemot virsstundas, šo noteikumu 12. punktā minētajam finansējuma saņēmējam šo noteikumu 18.7. apakšpunktā minēto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noteikumu projektā lietoto terminoloģiju ar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personāla izmaksām, lūdzam precizēt noteikumu projekta 20.8.apakšpunktā un citviet noteikumu projekta tekstā, kur tas attiecināms, aizstājot personāla atlīdzības izmaksas ar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18.7. apakšpunktā noteiktās projekta personāla atlīdzības izmaksas, kuras saskaņā ar Eiropas Parlamenta un Padomes 2021. gada 24. jūnija Regulas (ES)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 Nr.2021/1060) 55. panta 1. punktā noteikto, projekta iesniegumā plāno kā vienu izmaksu pozīciju, piemērojot izmaksu vienoto likmi 17 procentu apmērā no projekta tiešajām attiecināmajām izmaksām, bet neieskaitot tiešās projekta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skaidrus normas attiecināmības nosacījumus, lūdzam aizstāt noteikumu projekta 21.punktā ietverto atsauci uz noteikumu projekta 18.7.apakšpunktu ar atsauci uz noteikumu projekta 20.8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b w:val="1"/>
                <w:rtl w:val="0"/>
              </w:rPr>
              <w:t xml:space="preserve">20.8. </w:t>
            </w:r>
            <w:r w:rsidR="00000000" w:rsidRPr="00000000" w:rsidDel="00000000">
              <w:rPr>
                <w:rtl w:val="0"/>
              </w:rPr>
              <w:t xml:space="preserve">apakšpunktā noteiktās projekta personāla atlīdzības izmaksas, kuras saskaņā ar Eiropas Parlamenta un Padomes 2021. gada 24. jūnija Regulas (ES)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 Nr.2021/1060) 55. panta 1. punktā noteikto, projekta iesniegumā plāno kā vienu izmaksu pozīciju, piemērojot izmaksu vienoto likmi 17 procentu apmērā no projekta tiešajām attiecināmajām izmaksām, bet neieskaitot tiešās projekta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neparedzētās izmaksas, kas ir šo noteikumu 13. punktā minētā sadarbības partnera izmaksas,  kas ir tieši vai netieši saistītas ar projekta rezultātu sasniegšanu papildu darbu veikšanai vai pakalpojumu sniegšanai un kas neparedzamu apstākļu dēļ ir kļuvušas nepieciešamas noslēgtās vienošanās izpildes nodrošināšanai. Projektā tās plāno kā vienu izmaksu pozīciju, kas nepārsniedz piecus procentus no projekta tiešajām attiecināmajām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23.punktu, salāgojot informāciju ar anotāciju, ka neparedzētos izdevumus finansējuma saņēmējs saskaņo ar sadarbības iestādi kārtībā, ko nosaka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izmaksas ir attiecināmas, ja tās atbilst šajos noteikumos minētajām atbalstāmo darbību izmaksu pozīcijām un ir veiktas pēc 2024.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63. panta 6. punktā noteikts, ka darbības atbalsta saņemšanai no fondiem neatlasa, ja tās ir faktiski pabeigtas vai pilnībā īstenotas, pirms ir iesniegts pieteikums par finansējumu atbilstoši programmai, neatkarīgi no tā, vai ir veikti visi saistītie maksājumi. Ievērojot minēto, lūdzam papildināt noteikumu projekta 27. punktu ar norādi, ka projekta iesniegumā neiekļauj un finansējumu nepiešķir pabeigtām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un sadarbības partneris  nodrošina, ka projekta īstenošanas laikā tiek ievēroti interešu konflikta, korupcijas un krāpšanas novēršanas nosacījumi, un paredz, ka projekta vadībā iesaistītais projekta personāls ir informēts par korupcijas un interešu konflikta novēršanas jautājumiem, krāpšanas pazīmēm un pienākumu ziņot par konstatētajām aizdomām, kā arī ir informēti par ziņotāju aizsardzību atbilstoši Trauksmes celšanas likumam, kā arī parakstījuši apliecinājumus par interešu konflikta neesamību saskaņā ar Eiropas Parlamenta un Padomes 2018. gada 18. jūlija Regulas (ES, Euratom) 2018/1046 par finanšu noteikumiem, ko piemēro Savienības vispārējam budžetam, ar kuru groza Regulas (ES) Nr.1296/2013, (ES) Nr.1301/2013, (ES) Nr.1303/2013, (ES) Nr.   1304/2013, (ES) Nr.1309/2013, (ES) Nr.1316/2013, (ES) Nr.223/2014, (ES) Nr.283/2014 un Lēmumu Nr.541/2014/ES un atceļ Regulu (ES, Euratom) Nr.966/2012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ka finansējuma saņēmējs līdz projekta iesniegšanai sadarbības iestādē izstrādās iekšējās kontroles sistēmu atbilstoši Ministru kabineta 2017. gada 17. oktobra noteikumiem Nr.630 "Noteikumi par iekšējās kontroles sistēmas pamatprasībām korupcijas un interešu konflikta riska novēršanai publiskas personas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projekta īstenošanai nepieciešamo būvdarbu un pakalpojumu iepirkumu veic saskaņā ar normatīvajiem aktiem publisko iepirkumu jomā, īstenojot atklātu, pārredzamu, nediskriminējošu un konkurenci nodrošinošu konkursa procedūru,  nodrošina vides prasību integrāciju preču un pakalpojumu iepirkumos – zaļais publiskais iepirkums – un vides un informācijas piekļūstamību – sociāli atbildīgs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noteikumu projektu ar prasību par inovatīva publiskā iepirkuma piemērošanu, vienlaikus precizējot informāciju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projekta dzīves cikla laikā tiek konstatēts, ka ēkā, ēkas daļā vai ēku grupā, par kuru iesniegts projekta iesniegums, tiek veikta saimnieciskā darbība, kas nav uzskatāma par papildpakalpojumu, vai tiek veikta papildinoša saimnieciskā darbība, kas pārsniedz šo noteikumu 38. punktā minēto apmēru, vai tiek veikta saimnieciskā darbība, kas nav uzskatāma par papildinošu saimniecisko darbību, projekta iesniedzējam proporcionāli tai gada jaudas laika izteiksmē daļai, par kuru kopumā ir konstatēts pārkāpums, ir pienākums atmaksāt sadarbības iestādei saņemto nelikumīgo komercdarbības atbalstu kopā ar procentiem par attiecīgo gadu no līdzekļiem, kas brīvi no valsts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gada jaudu ne tikai laika izteiksmē, bet arī platības un finanšu izteiksmē, saskaņā ar MK noteikumu projekta 38.punktu.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attiecināms, attiecīgus precizējumus lūdzam veikt arī MK noteikumu anotācijas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projekta dzīves cikla laikā tiek konstatēts, ka ēkā, ēkas daļā vai ēku grupā, par kuru iesniegts projekta iesniegums, tiek veikta saimnieciskā darbība, kas nav uzskatāma par papildpakalpojumu, vai tiek veikta papildinoša saimnieciskā darbība, kas pārsniedz šo noteikumu 38. punktā minēto apmēru, vai tiek veikta saimnieciskā darbība, kas nav uzskatāma par papildinošu saimniecisko darbību, projekta iesniedzējam proporcionāli tai gada jaudas </w:t>
            </w:r>
            <w:r w:rsidR="00000000" w:rsidRPr="00000000" w:rsidDel="00000000">
              <w:rPr>
                <w:b w:val="1"/>
                <w:rtl w:val="0"/>
              </w:rPr>
              <w:t xml:space="preserve">platības, laika vai finanšu</w:t>
            </w:r>
            <w:r w:rsidR="00000000" w:rsidRPr="00000000" w:rsidDel="00000000">
              <w:rPr>
                <w:rtl w:val="0"/>
              </w:rPr>
              <w:t xml:space="preserve"> izteiksmē daļai, par kuru kopumā ir konstatēts pārkāpums, ir pienākums atmaksāt sadarbības iestādei saņemto nelikumīgo komercdarbības atbalstu kopā ar procentiem par attiecīgo gadu no līdzekļiem, kas brīvi no valsts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Sadarbības iestāde saskaņā ar atbildīgās iestādes izstrādāto papildinošas saimnieciskās darbības uzraudzības metodiku nodrošina veikto investīciju atbilstības uzraudzību atbilstoši šo noteikumu 38. un 39. punkta nosacījumiem visā projekta dzīves ciklā, kas metodikā tiks noteikts 10 -15 gadu robežās.  Sadarbības partneris visā projekta dzīves ciklā ik gadu sagatavo pārskatu par papildinošas saimnieciskās darbības apjomu un nodrošina šajā punktā minēto pārskatu un aprēķinus pamatojošo dokumentu pieejamību papildinošas saimnieciskās darbības uzraudzībai. Ja sadarbības partneris konstatē, ka ir pārsniegts šo noteikumu 38.punktā  minētais 20 procentu ierobežojums no infrastruktūras gada jaudas platības, laika vai finanšu izteiksmē vai ka veiktās investīcijas tiek izmantotas citai saimnieciskai darbībai, kas nav uzskatāma par papildinošu saimniecisku darbību, tas saskaņā ar civiltiesisko līgumu vai vienošanos par projekta īstenošanu noteiktajā termiņā iesniedz sadarbības iestādē ziņojumu par konstatēto šo noteikumu 38. un 39. punktā minēto nosacījumu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informāciju kā sadarbības partneris par neatbilstībām informē projekta iesniedzēju / finansējuma saņēmēju, kurš iesniedz ziņojumu sadarbības iestādē un/vai atmaksā nelikumīgo valsts atbalstu saskaņā ar 39.punktu.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Attiecīgus precizējumus lūdzam veikt arī MK noteikumu anotācijas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Sadarbības iestāde saskaņā ar atbildīgās iestādes izstrādāto papildinošas saimnieciskās darbības uzraudzības metodiku nodrošina veikto investīciju atbilstības uzraudzību atbilstoši šo noteikumu 38. un 39. punkta nosacījumiem visā projekta dzīves ciklā, kas metodikā tiks noteikts 10 -15 gadu robežās.  Sadarbības partneris visā projekta dzīves ciklā ik gadu sagatavo pārskatu par papildinošas saimnieciskās darbības apjomu un nodrošina šajā punktā minēto pārskatu un aprēķinus pamatojošo dokumentu pieejamību papildinošas saimnieciskās darbības uzraudzībai. Ja sadarbības partneris konstatē, ka ir pārsniegts šo noteikumu 38.punktā  minētais 20 procentu ierobežojums no infrastruktūras gada jaudas platības, laika vai finanšu izteiksmē vai ka veiktās investīcijas tiek izmantotas citai saimnieciskai darbībai, kas nav uzskatāma par papildinošu saimniecisku darbību, tas </w:t>
            </w:r>
            <w:r w:rsidR="00000000" w:rsidRPr="00000000" w:rsidDel="00000000">
              <w:rPr>
                <w:b w:val="1"/>
                <w:rtl w:val="0"/>
              </w:rPr>
              <w:t xml:space="preserve">informē finansējuma saņēmēju saskaņā ar sadarbības līguma nosacījumiem. Finansējuma saņēmējs</w:t>
            </w:r>
            <w:r w:rsidR="00000000" w:rsidRPr="00000000" w:rsidDel="00000000">
              <w:rPr>
                <w:rtl w:val="0"/>
              </w:rPr>
              <w:t xml:space="preserve"> saskaņā ar civiltiesisko līgumu vai vienošanos par projekta īstenošanu noteiktajā termiņā iesniedz sadarbības iestādē ziņojumu par konstatēto šo noteikumu 38. un 39. punktā minēto nosacījumu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skaidri izsekojamu informāciju, vai plānotajām investīcijām būs tieša, netieša, vai nebūs ietekmes uz šādiem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1.3. sadaļas attiecināmo izmaksu apraksta 4.2. punktu papildināt, norādot iekārtu un aprīkojuma piemērus, kas būs attiecināmi videi draudzīga izglītības procesa demonstrācijas pasākumu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Ozola-Tīruma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norādīto informāciju "Finansējuma saņēmējam projekta personāla izmaksu likmes aprēķinam paredzēts piemērot izmaksu vienoto likmi 17 % apmērā no projekta tiešajām attiecināmajām izmaksām, bet neieskaitot tiešās projekta personāla izmaksas. Sadarbības partnerim projekta personāla izmaksas netiek plānotas." piedāvātajā redakcijā. Vēršam uzmanību, ka minēto likmi plānots piemērot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projekta personāla izmaksām paredzēts piemērot izmaksu vienoto likmi 17 % apmērā no projekta tiešajām attiecināmajām izmaksām, bet neieskaitot tiešās projekta personāla izmaksas. Sadarbības partnerim projekta personāla izmaksas netiek plānotas.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izglītības jomas pārstāvošu biedrību, nodibinājumu, nevalstisko organizāciju  iesaisti Ministru kabineta noteikumu projekta izstrādē.  Vēršam uzmanību uz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 (Irma Bondare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24-TA-880</w:t>
    </w:r>
    <w:r>
      <w:br/>
    </w:r>
    <w:r w:rsidR="00000000" w:rsidRPr="00000000" w:rsidDel="00000000">
      <w:rPr>
        <w:rtl w:val="0"/>
      </w:rPr>
      <w:t xml:space="preserve">Izdrukāts 26.06.2024.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24-TA-880</w:t>
    </w:r>
    <w:r>
      <w:br/>
    </w:r>
    <w:r w:rsidR="00000000" w:rsidRPr="00000000" w:rsidDel="00000000">
      <w:rPr>
        <w:rtl w:val="0"/>
      </w:rPr>
      <w:t xml:space="preserve">Izdrukāts 26.06.2024.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Atzinumi_24-TA-880.docx</dc:title>
</cp:coreProperties>
</file>

<file path=docProps/custom.xml><?xml version="1.0" encoding="utf-8"?>
<Properties xmlns="http://schemas.openxmlformats.org/officeDocument/2006/custom-properties" xmlns:vt="http://schemas.openxmlformats.org/officeDocument/2006/docPropsVTypes"/>
</file>