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(projekta netiešās attiecināmās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un projekta iesniedzējs Profesionālās izglītības kompetences centrs "Nacionālā Mākslu vidusskola" (projekta īstenošanas adrese Slokas ielas 52a, Rīga), kura projekts tiek īstenots kā augstākās gatavības projekts, ir tiesīgs vadības informācijas sistēmā iesniegt veiktās priekšizpētes pamatojošos dokumentus, ja projektā tiek īstenots apvienotais projektēšanas un būvdarbu iepirkums. Nosacījums par veiktās priekšizpētes pamatojošo dokumentu iesniegšanu vadības informācijas sistēmā neattiecas uz projekta iesniedzēju Profesionālās izglītības kompetences centrs "Nacionālā Mākslu vidusskola" (projekta īstenošanas adrese Slokas ielas 52a, Rīga), kam būvprojekts ir jau izvērtēts atbilstoši šo noteikumu 42.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 punktu, salāgojot abus tā teikumus. Norādām, ja uz projekta iesniedzēju Profesionālās izglītības kompetences centru "Nacionālā Mākslu vidusskola" (projekta īstenošanas adrese Slokas ielas 52a, Rīga) attiecināmas 11. punkta pirmajā teikumā paredzētās tiesības, nav loģiski pretēji minētajam 11. punkta otrajā teikumā noteikt, ka pirmajā teikumā ietvertais nosacījums (par šīm tiesībām) uz minēto subjektu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16.09.2024.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16.09.2024.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