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piešķirto mikrokvalifikāciju skaits (izsniegto sertifikātu vai apliecību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sniegts izvērstu un vienotu skaidrojumu, kas tiek saprasts ar mikrokvalifikāciju, jo šobrīd nav vienota regulējuma, kas noteiktu mikrokvalifikāciju piešķiršanas nosacījums. Tādā veidā novēršot potenciāli neattiecināmās izmaksas finansējuma saņēmējiem, kas mikrokvalifikāciju un tās piešķiršanas nosacījumus var definēt atšķirīgi.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saskaņā ar līgumu par projekta īstenošanu finansējuma saņēmējam ir paredzēts avanss, to var izmaksāt pa daļām. Maksimālais avansa apjoms nepārsniedz 30 procentus no projektam piešķirtā ESF Plus finansējuma un valsts budžeta līdzfinansējuma kopsummas. Avansa un starpposma maksājumu kopsumma var būt 95 procenti no projektam piešķirtā ESF Plus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par biedrības "Augstākās izglītības un zinātnes informācijas tehnoloģijas koplietošanas pakalpojumu centrs" finanšu kapacitāti, kas sniedz pārliecību, ka projekta īstenošanas laikā, biedrībai būs pietiekami finanšu resursi, lai nodrošinātu 5% (~ 1 172 000 </w:t>
            </w:r>
            <w:r w:rsidR="00000000" w:rsidRPr="00000000" w:rsidDel="00000000">
              <w:rPr>
                <w:i w:val="1"/>
                <w:rtl w:val="0"/>
              </w:rPr>
              <w:t xml:space="preserve">euro</w:t>
            </w:r>
            <w:r w:rsidR="00000000" w:rsidRPr="00000000" w:rsidDel="00000000">
              <w:rPr>
                <w:rtl w:val="0"/>
              </w:rPr>
              <w:t xml:space="preserve">) no projektam piešķirtā ESF Plus un valsts budžeta līdzfinansējuma kopsummas no saviem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12.08.2024.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12.08.2024.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