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Citas valsts pārvaldes institūcijas un pašvaldības cilvēkresursu pārvaldības pakalpojumu saņemšanai var pievienoties, savstarpēji vienojoties ar Valsts kanceleju.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55. punkts paredz, ka citas valsts pārvaldes institūcijas un pašvaldības cilvēkresursu pārvaldības pakalpojumu saņemšanai var pievienoties, savstarpēji vienojoties ar Valsts kanceleju, savukārt 56. punkts paredz, ka pašvaldības mācību un attīstības pakalpojumu saņemšanai var pievienoties, savstarpēji vienojoties ar Valsts administrācijas skolu. Atšķirībā no tiešās valsts pārvaldes iestādēm, kurām pakalpojuma saņemšana noteikta obligāti un finansēta centralizēti (projekta 51. punkts; anotācijas 3. sadaļa), pašvaldību pievienošanās ir atstāta vienīgi divpusējas vienošanās ziņā, nenosakot ne tās finansiālos nosacījumus, ne to, vai pakalpojums pašvaldībām ir pieejams bez maksas. Šāds regulējums rada tiesisko nenoteiktību un risku, ka pašvaldībām pakalpojums būs pieejams tikai par maksu, kamēr tiešā valsts pārvalde to saņem centralizēti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(vai vismaz anotācijā) skaidri noteikt pašvaldību pievienošanās nosacījumus, paredzot pašvaldībām pieeju pakalpojumiem uz līdzvērtīgiem un finansiāli nediskriminējošiem noteikumiem ar tiešo valsts pārvaldi. To pamato apstāklis, ka sistēmas (daļēji) finansētas no Eiropas Savienības Atveseļošanas un noturības mehānisma 2. komponentes “Digitālā transformācija” investīcijas 2.1.2.1.i. “Pārvaldes centralizētās platformas un sistēmas”, kuras investīciju virziens nosaukts “Valsts pārvaldes, </w:t>
            </w:r>
            <w:r w:rsidR="00000000" w:rsidRPr="00000000" w:rsidDel="00000000">
              <w:rPr>
                <w:b w:val="1"/>
                <w:rtl w:val="0"/>
              </w:rPr>
              <w:t xml:space="preserve">tai skaitā pašvaldību</w:t>
            </w:r>
            <w:r w:rsidR="00000000" w:rsidRPr="00000000" w:rsidDel="00000000">
              <w:rPr>
                <w:rtl w:val="0"/>
              </w:rPr>
              <w:t xml:space="preserve">, digitālā transformācija” (anotācijas 3. sadaļas apakšsadaļa “Cita informācija”), kā arī Nacionālā attīstības plāna 2021.–2027. gadam uzdevums, kas tieši ietver </w:t>
            </w:r>
            <w:r w:rsidR="00000000" w:rsidRPr="00000000" w:rsidDel="00000000">
              <w:rPr>
                <w:b w:val="1"/>
                <w:rtl w:val="0"/>
              </w:rPr>
              <w:t xml:space="preserve">valsts pārvaldes un pašvaldību </w:t>
            </w:r>
            <w:r w:rsidR="00000000" w:rsidRPr="00000000" w:rsidDel="00000000">
              <w:rPr>
                <w:rtl w:val="0"/>
              </w:rPr>
              <w:t xml:space="preserve">IKT infrastruktūras un atbalsta procesu optimizāciju un centralizāciju (anotācijas 8.1.4.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ietekme uz pašvaldību budžetiem visos gados norādīta kā nulle, vienlaikus budžeta ieņēmumu rinda ietver “ieņēmumus no maksas pakalpojumiem”, bet finansējuma aprēķins aptver vienīgi tiešās valsts pārvaldes pakalpojuma saņēmējus. Tādējādi anotācija nesniedz informāciju par to, kā tiks finansēta pašvaldību pievienošanās un vai un kādā apmērā tā radīs pašvaldībām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sadaļu papildināt ar skaidrojumu par pašvaldību pievienošanās finansiālo modeli, tostarp norādot, vai pakalpojums pašvaldībām būs pieejams par maksu un kā paredzētais finansēšanas modelis saskan ar Atveseļošanas un noturības mehānisma finansējuma izlietojumu, kura mērķis ietver arī pašvaldību digitālo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 sadaļas tabulas 6. punktā norādīts, ka vienota risinājuma ieviešana mazinās digitālo plaisu starp iestādēm, jo tām visām būs pieejams vienots risinājums neatkarīgi no iestādes finanšu resursiem. Ja pašvaldību pievienošanās pakalpojumiem ir iespējama vienīgi par maksu un divpusējas vienošanās ceļā (projekta 55. un 56. punkts), šis apgalvojums attiecībā uz pašvaldībām nav izpildāms: finansiāli vājākajām pašvaldībām pieeja faktiski tiks ierobežota, tādējādi palielinot, nevis mazinot digitālo plaisu.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anotācijas 7.4. sadaļas tabulas 6. punktā un 8.1.4. apakšpunktā deklarētos mērķus ar projekta 55. un 56. punkta regulējumu, nodrošinot, ka deklarētais mērķis par digitālās plaisas mazināšanu neatkarīgi no finanšu resursiem reāli attiecas arī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25.06.2026. 11.01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25.06.2026. 11.01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