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Ministru kabineta rīkojuma projekta anotācijas 3. sadaļas 6. punktā sniegtajiem projekta rezultātu uzturēšanas izdevumu aprēķiniem izriet, ka vislielākā summa ir paredzēta sistēmu attīstībai un izmaiņu ieviešanai (69 % no kopējā indikatīvi papildu nepieciešamā finansējuma apmēra), lūdzam skaidrot, ko ietver šī izdevumu pozīcija un kā sistēmas attīstības un izmaiņu izdevumi ir attiecināmi uz uzturēšanas izdevumiem pēc projekta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(turpmāk - rīkojuma projekts) anotācijas 3. sadaļas punktā “Cita informācija” svītrot rindkopu, kurā ir uzskaitīti konkrēti normatīvie akti, par uzturēšanas izdevumu pēc projekta pabeigšanas pieprasīšanu, ņemot vērā, ka saistībā ar pāreju uz jauno budžeta struktūru jau šobrīd noris darbs pie grozījumu izstrādāšanas vairākos ar jauno budžeta procesu saistītajos normatīvajos aktos, kā arī nav nepieciešamības dublēt informāciju par uzturēšanas izdevumu pieprasīšanas kārtību pēc projekta īstenošanas, jo rīkojuma projekta anotācijas 6. punktā tā ir norādīta.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18.03.2026.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18.03.2026.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