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atbilstoši piedāvātajai redakcijai par to, ka lietotājs, mainot DNS servera konfigurāciju, var piekļūt arī tādām tīmekļa vietnēm, kas ir bloķētas, ja lietotājs neizmanto elektronisko sakaru komersantu apkalpotus DNS serverus.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"Piekļuves bloķēšana tīmekļa vietnei, izmantojot specifisku konfigurāciju lietotāja sesiju DNS pieprasījumu apstrādē, iespējama tikai tad, ja lietotājs izmanto elektronisko sakaru komersanta apkalpotu DNS serveri. Vienlaikus jāņem vērā tas, ka DNS servera konfigurācija ir gala lietotāja pārziņā, līdz ar to elektronisko sakaru komersants nevar tikt uzskatīts par atbildīgu faktā, ka lietotājs joprojām spēj piekļūt bloķētajai tīmekļa vietnei".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Edvīns Ušča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