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 punktam projekts stājas spēkā 2023. gada 1. jūlijā, savukārt projekta anotācijas 1.2. sadaļā norādīts, ka projekts stājas spēkā vispārējā kārtībā. Ievērojot minēto, lūdzam salāgot projektā un projekta anotācijā norādīto projekta spēkā stāšanās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15.06.2023.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15.06.2023.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Atzinumi_23-TA-1179.docx</dc:title>
</cp:coreProperties>
</file>

<file path=docProps/custom.xml><?xml version="1.0" encoding="utf-8"?>
<Properties xmlns="http://schemas.openxmlformats.org/officeDocument/2006/custom-properties" xmlns:vt="http://schemas.openxmlformats.org/officeDocument/2006/docPropsVTypes"/>
</file>