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24-TA-2301: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23. novembra rīkojumā Nr. 799 "Par sabiedrības ar ierobežotu atbildību "Valsts aizsardzības korporācija" dibināšanu"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un secinājumu komercdarbības atbalsta kontroles kontekstā, vai plānotā iemaksa SIA "Valsts aizsardzības korporācija" pamatkapitālā tiks veikta tikai, lai nodrošinātu ražošanu militārajā jomā, nodrošinot valsts drošības intereses, tādējādi attiecībā uz publisko līdzekļu iemaksu SIA "Valsts aizsardzības korporācija" pamatkapitālā nebūtu jāpiemēro komercdarbības atbalsta nosacījumi, jo šādā gadījumā valsts īsteno valsts varu (skat. skaidrojumu Komisijas paziņojuma par Līguma ar Eiropas Savienības darbību 107. panta 1. punktā minēto valsts atbalsta jēdzienu (2016/C 262/01) (pieejams: https://eur-lex.europa.eu/legal-content/LV/TXT/HTML/?uri=CELEX:52016XC0719(05)) 203.punktā).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īsteno un stimulē Eiropas Savienības finansējuma instrumentu un fondu līdzekļu apguvi, veidojot nacionālu un pārrobežu sadarbību, tai skaitā ieguldot kapitālu jau esošos Latvijas militārās ražošanas uzņēmumos, kuriem nepieciešamas šādas investīcijas, lai celtu to ražošanas kapacitāti;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 konsolidētās versijas 3.2.apakšpunktā minēto, ka viens no SIA "Valsts aizsardzības korporācija" veiktajiem uzdevumiem būs </w:t>
            </w:r>
            <w:r w:rsidR="00000000" w:rsidRPr="00000000" w:rsidDel="00000000">
              <w:rPr>
                <w:i w:val="1"/>
                <w:rtl w:val="0"/>
              </w:rPr>
              <w:t xml:space="preserve">īstenot un stimulēt Eiropas Savienības finansējuma instrumentu un fondu līdzekļu apguvi, veidojot nacionālu un pārrobežu sadarbību, tai skaitā ieguldot kapitālu jau esošos Latvijas militārās ražošanas uzņēmumos, kuriem nepieciešamas šādas investīcijas, lai celtu to ražošanas kapacitāti</w:t>
            </w:r>
            <w:r w:rsidR="00000000" w:rsidRPr="00000000" w:rsidDel="00000000">
              <w:rPr>
                <w:rtl w:val="0"/>
              </w:rPr>
              <w:t xml:space="preserve">, lūdzam papildināt anotāciju ar skaidrojumu, ka ieguldījumu citu uzņēmumu pamatkapitālā SIA "Valsts aizsardzības korporācija" varēs veikt tikai ar militāru mērķi, nodrošinot valsts drošības intereses, savukārt gadījumā, ja ieguldījums tiktu veikts divējāda pielietojuma infrastruktūrā, tiks ievērots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atbilstoši šā rīkojuma 2. punktam un, ja Saeimas Budžeta un finanšu (nodokļu) komisija piecu darbdienu laikā pēc attiecīgās informācijas saņemšanas nav izteikusi iebildumus, veikt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9. panta astoņpadsmito daļu, lai veiktu valsts budžeta likumā noteiktās apropriācijas pārdali no budžeta izdevumu kodiem atbilstoši ekonomiskajām kategorijām uz finansēšanas klasifikācijas kategoriju kodiem nav nepieciešams Saeimas Budžeta un finanšu (nodokļu) komisijas saskaņojuma, līdz ar to lūdzam svītrot MK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24-TA-2301</w:t>
    </w:r>
    <w:r>
      <w:br/>
    </w:r>
    <w:r w:rsidR="00000000" w:rsidRPr="00000000" w:rsidDel="00000000">
      <w:rPr>
        <w:rtl w:val="0"/>
      </w:rPr>
      <w:t xml:space="preserve">Izdrukāts 21.10.2024.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24-TA-2301</w:t>
    </w:r>
    <w:r>
      <w:br/>
    </w:r>
    <w:r w:rsidR="00000000" w:rsidRPr="00000000" w:rsidDel="00000000">
      <w:rPr>
        <w:rtl w:val="0"/>
      </w:rPr>
      <w:t xml:space="preserve">Izdrukāts 21.10.2024.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Atzinumi_24-TA-2301.docx</dc:title>
</cp:coreProperties>
</file>

<file path=docProps/custom.xml><?xml version="1.0" encoding="utf-8"?>
<Properties xmlns="http://schemas.openxmlformats.org/officeDocument/2006/custom-properties" xmlns:vt="http://schemas.openxmlformats.org/officeDocument/2006/docPropsVTypes"/>
</file>