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24-TA-169)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iekļaut informāciju par spēkā stāšanās datumiem, ņemot vērā, ka daži noteikumu projekta panti var stāties spēkā tikai noteiktos datumos, piemēram, saistošais likuma 26.1 pants par tekstilizstrādājumu regulējumu stājas spēkā tikai no 2024. gada 1. jūlija. Attiecīgi, lūdzam precizēt, vai nodokļa aprēķins attiecināms tikai no šī datuma, nevis par visu 2024.gadu.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Ksenija Tkačenko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aprēķināt administratīvās izmaksas, kas varētu rasties ražotāja paplašinātās atbildības sistēmas komersantiem, kas apsaimnieko plastmasas iepakojumu, kā arī piegādātājiem, izplatītājiem un tekstilizstrādājumu ražotājiem.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Ksenija Tkačenko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16.04.2024. 22.13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16.04.2024. 22.13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Atzinumi_24-TA-169.docx</dc:title>
</cp:coreProperties>
</file>

<file path=docProps/custom.xml><?xml version="1.0" encoding="utf-8"?>
<Properties xmlns="http://schemas.openxmlformats.org/officeDocument/2006/custom-properties" xmlns:vt="http://schemas.openxmlformats.org/officeDocument/2006/docPropsVTypes"/>
</file>