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197 "Atbalsta piešķiršanas kārtība Eiropas Lauksaimniecības fonda lauku attīstībai platībatkarīgo un dzīvniekatkarīgo saistību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sniegtajai informācijai Ministru kabineta 2023. gada 18. aprīļa noteikumos Nr. 197 "Atbalsta piešķiršanas kārtība Eiropas Lauksaimniecības fonda lauku attīstībai platībatkarīgo un dzīvniekatkarīgo saistību īstenošanai" (turpmāk – noteikumi Nr. 197)  plānoti </w:t>
            </w:r>
            <w:r w:rsidR="00000000" w:rsidRPr="00000000" w:rsidDel="00000000">
              <w:rPr>
                <w:u w:val="single"/>
                <w:rtl w:val="0"/>
              </w:rPr>
              <w:t xml:space="preserve">tehniski precizējumi</w:t>
            </w:r>
            <w:r w:rsidR="00000000" w:rsidRPr="00000000" w:rsidDel="00000000">
              <w:rPr>
                <w:rtl w:val="0"/>
              </w:rPr>
              <w:t xml:space="preserve">. Norādām, ka atbilstoši Ministru kabineta 2009. gada 3. februāra noteikumu Nr.108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punktam grozījumus normatīvajā aktā sagatavo, ja normatīvo aktu nepieciešams grozīt pēc būtības. Savukārt redakcionālus precizējumus sagatavo vienlaikus ar normatīvā akta grozījumiem pēc būtības. Minētā norma ieviesta, lai mazinātu normatīvo aktu grozīšanas biežumu. Attiecīgi, uzsverot anotācijā grozījumu tehnisko raksturu šķietami secināms, ka projekts nemaina regulējumu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plānoto grozījumu raksturu un, ja projektā paredzētie grozījumi tiešām ir tehniski, tad nevirzīt projektu apstiprināšanai Ministru kabinetā, bet gan tehniskos precizējumus veikt vienlaicīgi ar grozījumiem noteikumos Nr. 197 pēc būtības. Savukārt, konstatējot grozījumu būtiskumu,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labot anotācijā ietverto norādi uz to, ka plānotie grozījumi ir tikai tehniski;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konkrētāk skaidrot grozījumu nepieciešamību, norādot uz riskiem un problēmām, kuras plānots novērst, kā arī uzsverot plānoto grozījumu būtisko raksturu.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1.3. apakšpunktu un veikt papildinājumus un/vai sniegtās informācijas pārstrukturizēšanu, jo, piemēram, problēmas aprakstā nav skaidrota projektā risināmā problēma un daļa pašreizējās situācijas apraksta šķietami attiecināma uz problēmas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norādām, ka būtiskāko informāciju par problēmas analīzi norāda anotācijas 1.3. apakšpunktā. Sadaļā “Pašreizējā situācija” apraksta šī brīža situāciju, “Problēma” apraksta problēmu, savukārt sadaļā “Risinājums“ ieraksta attiecīgās problēmas risinājumu, kas paredzēts projektā. Ņemot vērā minēto, lūdzam veikt nepieciešamos labojumus, nodrošinot pilnīgu, skaidru un nepārprotamu projekta atspoguļojumu, skaidrojumus un ar to saistīto apstākļu izklāstu.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lietots termins "ģeotelpiskais iesniegums", kas, pamatojoties uz noteikumu Nr. 197 12. punktu, ir termina "atbalsta pieteikums" apzīmējums. Attiecīgi, pirmo reizi anotācijā minot ģeotelpisko iesniegumu, iesakām lietot noteikumos lietoto terminu "atbalsta pieteikums", nepieciešamības gadījumā norādot, ka turpmāk tiek lietots apzīmējums "ģeotelpiskais iesniegums".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Komerclikuma 18. pantu termins "uzņēmums" apzīmē organizatoriski saimniecisku vienību un nevis komercdarbības vai saimnieciskās darbības subjektu, lūdzam izvērtēt un nepieciešamības gadījumā precizēt anotāciju termina "uzņēmums" vietā izmantojot terminu "komersants" vai "saimnieciskās darbības veicējs".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23-TA-1155</w:t>
    </w:r>
    <w:r>
      <w:br/>
    </w:r>
    <w:r w:rsidR="00000000" w:rsidRPr="00000000" w:rsidDel="00000000">
      <w:rPr>
        <w:rtl w:val="0"/>
      </w:rPr>
      <w:t xml:space="preserve">Izdrukāts 06.06.2023. 22.24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23-TA-1155</w:t>
    </w:r>
    <w:r>
      <w:br/>
    </w:r>
    <w:r w:rsidR="00000000" w:rsidRPr="00000000" w:rsidDel="00000000">
      <w:rPr>
        <w:rtl w:val="0"/>
      </w:rPr>
      <w:t xml:space="preserve">Izdrukāts 06.06.2023. 22.24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Atzinumi_23-TA-1155.docx</dc:title>
</cp:coreProperties>
</file>

<file path=docProps/custom.xml><?xml version="1.0" encoding="utf-8"?>
<Properties xmlns="http://schemas.openxmlformats.org/officeDocument/2006/custom-properties" xmlns:vt="http://schemas.openxmlformats.org/officeDocument/2006/docPropsVTypes"/>
</file>