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4.2.1.1. pasākuma "Infrastruktūras izveide starpnozaru sadarbības un atbalsta sistēmas izveidei bērnu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pasākuma atbalstāmo darbību provizoriskajām izmaksām, lai nodrošinātu izpratni par pieejamā finansējuma sadales aplēsēm un atbilstību plānoto darbību īstenošanas vajadzībām, ņemot vērā atbalstāmo darbību papildināšanu ar jaunām izmaksu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plānoto elektorauto un to uzlādes iekārtu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4.2.1.1. pasākuma "Infrastruktūras izveide starpnozaru sadarbības un atbalsta sistēmas izveidei bērnu attīstībai"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priekšlikumu par pasākuma rezultātu uzturēšanu pēc projekta pabeigšanas, lūdzam noteikumu projektu papildināt ar jaunu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pabeigšanas sadarbības partneri nodrošina sasniegto rezultātu uzturēšanu.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4 350 000 </w:t>
            </w:r>
            <w:r w:rsidR="00000000" w:rsidRPr="00000000" w:rsidDel="00000000">
              <w:rPr>
                <w:i w:val="1"/>
                <w:rtl w:val="0"/>
              </w:rPr>
              <w:t xml:space="preserve">euro </w:t>
            </w:r>
            <w:r w:rsidR="00000000" w:rsidRPr="00000000" w:rsidDel="00000000">
              <w:rPr>
                <w:rtl w:val="0"/>
              </w:rPr>
              <w:t xml:space="preserve">(no tā elastības finansējums – 686 104 </w:t>
            </w:r>
            <w:r w:rsidR="00000000" w:rsidRPr="00000000" w:rsidDel="00000000">
              <w:rPr>
                <w:i w:val="1"/>
                <w:rtl w:val="0"/>
              </w:rPr>
              <w:t xml:space="preserve">euro</w:t>
            </w:r>
            <w:r w:rsidR="00000000" w:rsidRPr="00000000" w:rsidDel="00000000">
              <w:rPr>
                <w:rtl w:val="0"/>
              </w:rPr>
              <w:t xml:space="preserve">), tai skaitā Eiropas Reģionālās attīstības fonda finansējums 3 697 500 </w:t>
            </w:r>
            <w:r w:rsidR="00000000" w:rsidRPr="00000000" w:rsidDel="00000000">
              <w:rPr>
                <w:i w:val="1"/>
                <w:rtl w:val="0"/>
              </w:rPr>
              <w:t xml:space="preserve">euro </w:t>
            </w:r>
            <w:r w:rsidR="00000000" w:rsidRPr="00000000" w:rsidDel="00000000">
              <w:rPr>
                <w:rtl w:val="0"/>
              </w:rPr>
              <w:t xml:space="preserve">(no tā elastības finansējums – 583 189 </w:t>
            </w:r>
            <w:r w:rsidR="00000000" w:rsidRPr="00000000" w:rsidDel="00000000">
              <w:rPr>
                <w:i w:val="1"/>
                <w:rtl w:val="0"/>
              </w:rPr>
              <w:t xml:space="preserve">euro</w:t>
            </w:r>
            <w:r w:rsidR="00000000" w:rsidRPr="00000000" w:rsidDel="00000000">
              <w:rPr>
                <w:rtl w:val="0"/>
              </w:rPr>
              <w:t xml:space="preserve">) un valsts budžeta līdzfinansējums – 652 500 </w:t>
            </w:r>
            <w:r w:rsidR="00000000" w:rsidRPr="00000000" w:rsidDel="00000000">
              <w:rPr>
                <w:i w:val="1"/>
                <w:rtl w:val="0"/>
              </w:rPr>
              <w:t xml:space="preserve">euro </w:t>
            </w:r>
            <w:r w:rsidR="00000000" w:rsidRPr="00000000" w:rsidDel="00000000">
              <w:rPr>
                <w:rtl w:val="0"/>
              </w:rPr>
              <w:t xml:space="preserve">(no tā elastības finansējums – 102 915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noteikumos norādīto finansējumu, svītrojot elastības finansējumu un ar to saistītos notikumu punktus (8. un 9. noteikumu punkts), ņemot vērā, ka ir saņemts Eiropas Komisijas lēmums par vidusposma pārskatu un apstiprināti attiecīgie Eiropas Savienības kohēzijas politikas programmas 2021.-2027.gadam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Attiecīgus precizējumus lūdzam veikt arī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pieejamais kopējais attiecināmais finansējums ir 4 350 000 euro, tai skaitā Eiropas Reģionālās attīstības fonda finansējums 3 697 500 euro un valsts budžeta līdzfinansējums – 652 500 euro.</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mobilitātes nodrošināšanai nepieciešamo autotransporta pakalpojumu nodrošināšana, tai skaitā noma vai autotransporta iegāde un uzturēšana, tai skaitā uzlādes iekārtas iegāde;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uzlādes iekārtas uzstādīšanas vietu, kā arī tās lietošanas un uzturēšanas kārtību, lai nodrošinātu nepārprotamu izpratni par izmaksu attiecināmību, piemēram, kam būs piekļuve uzlādes iekārtas lietošanai.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mobilitātes nodrošināšanai nepieciešamo autotransporta pakalpojumu nodrošināšana, tai skaitā noma vai autotransporta iegāde un uzturēšana, tai skaitā uzlādes iekārtas iegāde;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autotransporta iegāde ir iespējama ievērojot ES fondu 2021.–2027. gada plānošanas perioda Vadlīnijas attiecināmo izmaksu noteikšanai Eiropas Savienības Kohēzijas politikas programmas 2021.-2027. gada plānošanas periodā noteikto, kā arī tikai tīros transportlīdzekļus, kā tie definēti direktīvā Nr. 2009/33/EC "Eiropas Parlamenta un Padomes Direktīva 2009/33/EK ( 2009. gada 23. aprīlis ) par tīro un energoefektīvo autotransporta līdzekļu izmantošanas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finansējuma saņēmēja un sadarbības partnera projekta vadības vietējā transporta izmaksas (maksa par degvielu,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un transportlīdzekļu nomas un transporta pakalpojuma pirkšanas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apakšpunkta redakciju, ņemot vērā, ka 19.5. apakšpunktā minētās transportlīdzekļu nomas un transporta pakalpojumu iegādes izmaksas radīsies uz iepirkuma līgumu pamata un līdz ar to būs attiecināmas saskaņā ar noteikumu 21.1.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finansējuma saņēmēja un sadarbības partnera projekta vadības vietējā transporta izmaksas (maksa par degvielu,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Baltace-Saukāne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savā tīmekļvietnē (ja tāda ir) un sociālajos tīklos ievieto informāciju par projekta īstenošanu un aktualizē to, tiklīdz pieejama jaunāka informācija, bet ne retāk kā reizi sešos mēnešos;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nenoteikt stingrākas prasības par tām, kas paredzētas ES fondu 2021.–2027. gada un Atveseļošanas fonda komunikācijas un dizaina vadlīnijās. Esošajā redakcijā ir noteikts, ka informācija jāaktualizē ne retāk kā reizi sešos mēnešos, taču ierosinām norādīt tikai to, ka informācija jāaktualizē, ja tas ir nepieciešams, nenosakot konkrētu biežumu. Tas ļautu saglabāt prasības atbilstošas vadlīnijām, neieviešot stingrākus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Mežale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norādīts, ka pasākuma rezultātu uzturēšana tiks nodrošināta no valsts budžeta līdzekļiem. Uzskatām, ka sadarbības partneriem projekta ietvaros izveidotās un iekārtotās telpas ir jānodrošina savu  līdzekļu ietvaros, attiecīgi jāprecizē anotācijā sniegtā informācija par uzturēšanas izmaksu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projekta vadības un īstenošanas nodrošināšanas pamatprincipa Nr.2, lūdzam iekļaut aprēķina aprakstu (amatu skaits, amatu saimes utt.) šai norādītajai informācijai - "Kvalitatīvai projekta ieviešanai ir nepieciešams projekta vadītājs, projekta vadītāja asistents, finansists, iepirkumu speciālists, un arī sadarbības partneriem ir nepieciešams piesaistīt projekta vadītājus".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projekta vadības un īstenošanas nodrošināšanas pamatprincipa Nr.1, l (... saskaņā ar... ) lūdzam iekļaut atsauci uz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55.panta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teikumu "projekta vadības un īstenošanas nodrošināšanai tiek piemērotas vienkāršotās izmaksas jeb vienotā likme 20 % apmērā" aiz vārdiem 20 % apmērā ar šādu informāciju "no projekta tiešajām attiecināmajām izmaksām, kas nav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iekļaut atsauci uz konkrētajiem MK noteikumu par SAM īstenošanu punktiem, no kuriem ir rēķināts vienotās personāla likmes procents.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projeka ietvaros netiek īstenots daudzpakāpju projekts aicinām noteikumu projekta anotācijas 1.3. sadaļā pie apraksta par vienlīdzību, iekļaušanu, nediskrimināciju un pamattiesību ievērošanu svītrot atsauci uz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anotācijas 2.2.3. un 2.2.3. punktā norādīto ietekmes aprakstu, lai ir saprotamas norādītās ietekmes veidošanās cēloņsakarības.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kārtējais ir 2026. gads, lūdzam precizēt anotācijas 3. sadaļas tabulas 3., 5. un 8. kolonnā norādīto informāciju, attiecīgi 6.punktā precizējot indikatīvo finansējuma sadalījumu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informēt Ministru kabinetu par tālāku rīcību 4.2.1.1. pasākuma "Infrastruktūras izveide starpnozaru sadarbības un atbalsta sistēmas izveidei bērnu attīstībai" īstenošanā, ja Eiropas Komisija neatbalsta Eiropas Savienības kohēzijas politikas programmas 2021.–2027. gadam grozījumu priekšlikumu par šī pasākuma atbalstāmo darbību papildināšanu ar autotransportu, kā daļu no infrastruktūras izveides.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projekta 5.punktu, ņemot vērā, ka ir saņemts Eiropas Komisijas lēmums par vidusposma pārskatu un ir apstiprināti attiecīgie Eiropas Savienības kohēzijas politikas programmas 2021.-2027.gadam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15.01.2026.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25-TA-2273</w:t>
    </w:r>
    <w:r>
      <w:br/>
    </w:r>
    <w:r w:rsidR="00000000" w:rsidRPr="00000000" w:rsidDel="00000000">
      <w:rPr>
        <w:rtl w:val="0"/>
      </w:rPr>
      <w:t xml:space="preserve">Izdrukāts 15.01.2026.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Atzinumi_25-TA-2273.docx</dc:title>
</cp:coreProperties>
</file>

<file path=docProps/custom.xml><?xml version="1.0" encoding="utf-8"?>
<Properties xmlns="http://schemas.openxmlformats.org/officeDocument/2006/custom-properties" xmlns:vt="http://schemas.openxmlformats.org/officeDocument/2006/docPropsVTypes"/>
</file>