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pārvaldes institūcijās nodrošināmā dzimumu līdzsvara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4. panta trešajā, sestajā, astotajā un devītajā daļā, kā arī 5. pantā un 7. panta otrajā daļā  ir iekļautas informācijas sniegšanas prasības, lūdzu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monetāru novērtējumu par fiziskām un juridiskām personām aizpilde anotācijas 2. sadaļas 2.3 apakšpunktā un valsts vai pašvaldību institūcijām anotācijas 7. sadaļas 7.2.apakšpunktā.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12.12.2024.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12.12.2024.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Atzinumi_24-TA-2764.docx</dc:title>
</cp:coreProperties>
</file>

<file path=docProps/custom.xml><?xml version="1.0" encoding="utf-8"?>
<Properties xmlns="http://schemas.openxmlformats.org/officeDocument/2006/custom-properties" xmlns:vt="http://schemas.openxmlformats.org/officeDocument/2006/docPropsVTypes"/>
</file>