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"Atbalsts ieguldījumiem mazajās lauku saimniecībās"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gada kopējais neto apgrozījums iepriekšējā noslēgtajā gadā pirms projekta iesniegšanas – ne vairāk kā 15 000 </w:t>
            </w:r>
            <w:r w:rsidR="00000000" w:rsidRPr="00000000" w:rsidDel="00000000">
              <w:rPr>
                <w:i w:val="1"/>
                <w:rtl w:val="0"/>
              </w:rPr>
              <w:t xml:space="preserve">euro</w:t>
            </w:r>
            <w:r w:rsidR="00000000" w:rsidRPr="00000000" w:rsidDel="00000000">
              <w:rPr>
                <w:rtl w:val="0"/>
              </w:rPr>
              <w:t xml:space="preserve">, ņemot vērā saistītās personas (tostarp vienu vienotu uzņēmumu);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jēdziena “viens vienots uzņēmums”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tāda pamatlīdzekļa iegādi, kurš būtiski maina ražošanas vai tehnoloģiju raksturu;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18.3. apakšpunkta nepārprotamu izpratni un vienveidīgu piemērošanu praksē, lūdzam precizēt minēto apakšpunktu, norādot, kāda pamatlīdzekļa iegāde, kas maina ražošanas vai tehnoloģiju raksturu palielinājums, uzskatāma par būtisku, jo minētais kritērijs ir subjektīvs un neskaidrs.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1. tabulas Regulas 2021/2115 73. panta 4. punkta "b" apakšpunktu vai  atbilstoši precizēt noteikumu projekta 24. punktu, jo noteikumu projekta 24. punktā nav atsauce uz iepriekš minēto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28.03.2023.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w:t>
    </w:r>
    <w:r>
      <w:br/>
    </w:r>
    <w:r w:rsidR="00000000" w:rsidRPr="00000000" w:rsidDel="00000000">
      <w:rPr>
        <w:rtl w:val="0"/>
      </w:rPr>
      <w:t xml:space="preserve">Izdrukāts 28.03.2023.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Atzinumi_23-TA-168.docx</dc:title>
</cp:coreProperties>
</file>

<file path=docProps/custom.xml><?xml version="1.0" encoding="utf-8"?>
<Properties xmlns="http://schemas.openxmlformats.org/officeDocument/2006/custom-properties" xmlns:vt="http://schemas.openxmlformats.org/officeDocument/2006/docPropsVTypes"/>
</file>