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25-TA-3056: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21. maija noteikumos Nr. 301 "Valsts atbalsta piešķiršanas kārtība lauksaimniecības un zivsaimniecības tirgus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anotācijā izvērstāk skaidrot projektā izteikto noteikumu IV.</w:t>
            </w:r>
            <w:r w:rsidR="00000000" w:rsidRPr="00000000" w:rsidDel="00000000">
              <w:rPr>
                <w:vertAlign w:val="superscript"/>
                <w:rtl w:val="0"/>
              </w:rPr>
              <w:t xml:space="preserve">1 </w:t>
            </w:r>
            <w:r w:rsidR="00000000" w:rsidRPr="00000000" w:rsidDel="00000000">
              <w:rPr>
                <w:rtl w:val="0"/>
              </w:rPr>
              <w:t xml:space="preserve">nodaļas regulējumu, tostarp arī pamatojot, kādēļ izvēlēti konkrēti atbalsta pretendenti vai noteikti tieši konkrētie atbalsta pretendenta atbilstības kritēriji (sk., piemēram, bet ne tikai, noteikumu 58.</w:t>
            </w:r>
            <w:r w:rsidR="00000000" w:rsidRPr="00000000" w:rsidDel="00000000">
              <w:rPr>
                <w:vertAlign w:val="superscript"/>
                <w:rtl w:val="0"/>
              </w:rPr>
              <w:t xml:space="preserve">3</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2.5.1.</w:t>
            </w:r>
            <w:r w:rsidR="00000000" w:rsidRPr="00000000" w:rsidDel="00000000">
              <w:rPr>
                <w:rtl w:val="0"/>
              </w:rPr>
              <w:t xml:space="preserve"> un </w:t>
            </w:r>
            <w:r w:rsidR="00000000" w:rsidRPr="00000000" w:rsidDel="00000000">
              <w:rPr>
                <w:rtl w:val="0"/>
              </w:rPr>
              <w:t xml:space="preserve">2.5.2. </w:t>
            </w:r>
            <w:r w:rsidR="00000000" w:rsidRPr="00000000" w:rsidDel="00000000">
              <w:rPr>
                <w:rtl w:val="0"/>
              </w:rPr>
              <w:t xml:space="preserve">apakšpunktā</w:t>
            </w:r>
            <w:r w:rsidR="00000000" w:rsidRPr="00000000" w:rsidDel="00000000">
              <w:rPr>
                <w:rtl w:val="0"/>
              </w:rPr>
              <w:t xml:space="preserve"> minētajos pasākumos atbalsta saņēmējs ir sabiedrība ar ierobežotu atbildību "Latvijas Lauku konsultāciju un izglītības centrs". Ilgtspējīgas pārtikas un ēdināšanas iepirkumu kompetenču centra izveide nav saistīta ar saimniecisko darbību un atbilst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anotācijā papildus jau ietvertajam skaidrojumam par noteikumu projekta 16. punktā ietverto noteikumu 58.</w:t>
            </w:r>
            <w:r w:rsidR="00000000" w:rsidRPr="00000000" w:rsidDel="00000000">
              <w:rPr>
                <w:vertAlign w:val="superscript"/>
                <w:rtl w:val="0"/>
              </w:rPr>
              <w:t xml:space="preserve">2</w:t>
            </w:r>
            <w:r w:rsidR="00000000" w:rsidRPr="00000000" w:rsidDel="00000000">
              <w:rPr>
                <w:rtl w:val="0"/>
              </w:rPr>
              <w:t xml:space="preserve"> punktu izvērstāk skaidrot izvēlēto risinājumu. Proti, aicinām izvērtēt iespēju šos grozījumus virzīt pēc tam, kad ir pieņemts anotācijā minētais likumprojekts "Grozījumi Publisko iepirkumu likumā" (Nr. 1035/Lp14), ar kuriem paredzēts papildināt likumu ar 9.</w:t>
            </w:r>
            <w:r w:rsidR="00000000" w:rsidRPr="00000000" w:rsidDel="00000000">
              <w:rPr>
                <w:vertAlign w:val="superscript"/>
                <w:rtl w:val="0"/>
              </w:rPr>
              <w:t xml:space="preserve">1</w:t>
            </w:r>
            <w:r w:rsidR="00000000" w:rsidRPr="00000000" w:rsidDel="00000000">
              <w:rPr>
                <w:rtl w:val="0"/>
              </w:rPr>
              <w:t xml:space="preserve"> pantu, kura pirmā daļa paredzētu: "</w:t>
            </w:r>
            <w:r w:rsidR="00000000" w:rsidRPr="00000000" w:rsidDel="00000000">
              <w:rPr>
                <w:i w:val="1"/>
                <w:rtl w:val="0"/>
              </w:rPr>
              <w:t xml:space="preserve">Lai īstenotu ilgtspējas principus, attīstītu iepirkumu standartizāciju un centralizāciju, var veidot kompetences centrus noteiktās jomās. Ministru kabinets nosaka kompetences centrus un to atbildības jomas, kā arī, ja nepieciešams, prasības un noteikumus, kas jāievēro pasūtītājiem attiecīgās jomas iepirkumos</w:t>
            </w:r>
            <w:r w:rsidR="00000000" w:rsidRPr="00000000" w:rsidDel="00000000">
              <w:rPr>
                <w:rtl w:val="0"/>
              </w:rPr>
              <w:t xml:space="preserve">." Izprotam, kā anotācijā norādīts, ka "noteikumu projektā plānots sniegt finansējumu kompetences centra funkcijas izveidei, kas Zemkopības ministrijai ir uzdots atbilstoši  Ministru kabineta 2025. gada 26. augusta sēdes protokola Nr. 33, 52. § 11. punktā dotajam uzdevumam: “</w:t>
            </w:r>
            <w:r w:rsidR="00000000" w:rsidRPr="00000000" w:rsidDel="00000000">
              <w:rPr>
                <w:i w:val="1"/>
                <w:rtl w:val="0"/>
              </w:rPr>
              <w:t xml:space="preserve">11. Zemkopības ministrijai uzsākt veidot kompetences centra funkciju pārtikas piegāžu un ēdināšanas pakalpojumu iepirkumiem esošā finansējuma ietvaros</w:t>
            </w:r>
            <w:r w:rsidR="00000000" w:rsidRPr="00000000" w:rsidDel="00000000">
              <w:rPr>
                <w:rtl w:val="0"/>
              </w:rPr>
              <w:t xml:space="preserve">.” Vienlaikus atgādinām, ka iepriekš minētais likumprojekts vēl nav pieņemts, un attiecīgi nav arī vēl Ministru kabineta noteikumi, kas nosaka SIA “Latvijas Lauku konsultāciju un izglītības centrs” kā kompetences centru ilgtspējīgas pārtikas un ēdināšanas iepirkumu jomā. Attiecīgi aicinām izvērtēt un sniegt izvērstāku skaidrojumu, ja šie grozījumi tiks virzīti apstiprināšanai pirms iepriekš minētā tiesiskā pamata (par kompetences centra noteikšanu kā tādu) pieņemšanas, tostarp aicinām sniegt skaidrojumu par iespējamām sekām un Zemkopības ministrijas rīcību, ja likumprojekts netiks pieņemts, tā pieņemšana kavēsies vai tas netiks pieņemts attiecīgajā redakcijā, kā arī, ja uz jau pieņemtā likuma pamata izdoto Ministru kabineta noteikumu redakcija atšķirsies no iecerētās (piemēram, tiks noteikts cits subjekts kā kompetences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un skaidrot, kādēļ noteikumu 58.</w:t>
            </w:r>
            <w:r w:rsidR="00000000" w:rsidRPr="00000000" w:rsidDel="00000000">
              <w:rPr>
                <w:vertAlign w:val="superscript"/>
                <w:rtl w:val="0"/>
              </w:rPr>
              <w:t xml:space="preserve">2</w:t>
            </w:r>
            <w:r w:rsidR="00000000" w:rsidRPr="00000000" w:rsidDel="00000000">
              <w:rPr>
                <w:rtl w:val="0"/>
              </w:rPr>
              <w:t xml:space="preserve"> punktā ietverts otrais teikums un kāda ir tā nepieciešamība un nozīme kontekstā ar atbalsta saņemšanu, ņemot vērā, ka tas noteic kritērijus kompetenču centra izveidē (proti, kā tas atbilst likumā noteiktajam pilnvarojumam). Ja nepieciešams,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25-TA-3056</w:t>
    </w:r>
    <w:r>
      <w:br/>
    </w:r>
    <w:r w:rsidR="00000000" w:rsidRPr="00000000" w:rsidDel="00000000">
      <w:rPr>
        <w:rtl w:val="0"/>
      </w:rPr>
      <w:t xml:space="preserve">Izdrukāts 26.02.2026. 08.39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25-TA-3056</w:t>
    </w:r>
    <w:r>
      <w:br/>
    </w:r>
    <w:r w:rsidR="00000000" w:rsidRPr="00000000" w:rsidDel="00000000">
      <w:rPr>
        <w:rtl w:val="0"/>
      </w:rPr>
      <w:t xml:space="preserve">Izdrukāts 26.02.2026. 08.39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Atzinumi_25-TA-3056.docx</dc:title>
</cp:coreProperties>
</file>

<file path=docProps/custom.xml><?xml version="1.0" encoding="utf-8"?>
<Properties xmlns="http://schemas.openxmlformats.org/officeDocument/2006/custom-properties" xmlns:vt="http://schemas.openxmlformats.org/officeDocument/2006/docPropsVTypes"/>
</file>