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darbam ar diasporu 2024.-2026.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plāna projekta IV sadaļas "Ietekmes novērtējums uz valsts uz pašvaldību budžetu"  1. punkta Iekšlietu ministriju (tai skaitā apakšprogrammu 11.01.00 "Pilsonības un migrācijas lietu pārvalde" (bez finanšu rādītājiem)), jo sadaļas rīcības virzienu  uzdevumu/pasākumu īstenošanā nav norādes uz Iekšlietu ministrijai nepieciešamu papildu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Atzinumi_23-TA-2905.docx</dc:title>
</cp:coreProperties>
</file>

<file path=docProps/custom.xml><?xml version="1.0" encoding="utf-8"?>
<Properties xmlns="http://schemas.openxmlformats.org/officeDocument/2006/custom-properties" xmlns:vt="http://schemas.openxmlformats.org/officeDocument/2006/docPropsVTypes"/>
</file>