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norādījām publiskās apspriešanas laikā, šis likumprjekts jāskata sasaistē ar normatīvo aktu projektu "Gaujas Nacionālā parka individuālie aizsardzības un izmantošanas noteikumi", un ņemot vērā šajā noteikumu projektā paredzēto, kā mežsaimnieciskās darbības ierobežojumu pieaugumu, iebilstam pret likumprojekta tālāku virzību, kamēr nav ieviesta taisnīga, reāli funkcionējoša kompensāciju sistēma. Grozījumu projekti Gaujas nacionālā parka likumā un sājos noteikumos paredz zonējuma izmaiņas aptuveni 11 tūkstošu hektāru platībā, tai skaitā aptuveni 8 tūkstošos hektāru privātajā īpašumā. Grozījumi skars vairāk nekā 1000 kadastra vienības! Zonējuma izmaiņas lielākajā daļā īpašumu izsauks būtiskus meža apsaimniekošanas ierobežojumus, tai skaitā, iespēju kvalitatīvi atjaunot mežu. Lai arī Ministru kabinets ir apstiprinājis informatīvo ziņojumu “Par priekšlikumiem kompensāciju nodrošināšanai par saimnieciskās darbības ierobežojumiem aizsargājamās teritorijās un iespējamajiem finanšu avotiem kompensāciju segšanai” un paredz sagatavot izmaiņas kompensācijas reglamentējošos normatīvajos aktos līdz 2025.gada 1.septembrim, pašlaik nav iespējas pārliecināties, par to, kas būs paredzēts šajos normatīvajos aktos, kā arī nav skaidrības par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būs ne tikai uz mežizstrādes uzņēmumiem un mazajiem vietējiem koksnes pārstrādātājiem, bet arī uz cilvēkiem, kuri nodarbojas ar meža audzēšanu, jo tiesību aktu projekts "Gaujas Nacionālā parka individuālie aizsardzības un izmantošanas noteikumi", kas jāskata sasaistē ar šiem noteikumiem, paredz jaunus koku stādīšanas ierobežojumus atsevišķās GNP zonās.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jāskata sasaistē ar MK noteikumu projektu "Gaujas Nacionālā parka individuālie aizsardzības un izmantošanas noteikumi" kur anotācijā ir minēts ka  galvenās cirtes aizliegums pieaugs par 5251 ha (no 99,3 ha uz 5351 ha), kailcirtes aizliegums pieaugs par 2792 ha (no 859 ha uz 3651ha), kā arī tiks noteikts kopšanas cirtes aizliegums 3895 ha platībā. Atbilstoši Noteikumos Nr.197 noteiktajām atbalsta likmēm paredzams, ka atbalsta maksājumiem papildus būs nepieciešami ap 932 000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25.03.2025. 20.13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25.03.2025. 20.13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Atzinumi_24-TA-209.docx</dc:title>
</cp:coreProperties>
</file>

<file path=docProps/custom.xml><?xml version="1.0" encoding="utf-8"?>
<Properties xmlns="http://schemas.openxmlformats.org/officeDocument/2006/custom-properties" xmlns:vt="http://schemas.openxmlformats.org/officeDocument/2006/docPropsVTypes"/>
</file>