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noteikumu projekta "Grozījumi Ministru kabineta 2010. gada 30. novembra noteikumos Nr. 1080 "Transportlīdzekļu reģistrācijas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5. sadaļu, sniedzot pilnīgu izpratni par projekta atbilstību Eiropas Savienības tiesību aktiem. Vēršam uzmanību, ka atbilstoši projekta pamatojumam tas izstrādāts arī, lai precizētu reģistrācijas apliecībā iekļaujamo informāciju atbilstoši </w:t>
            </w:r>
            <w:r w:rsidR="00000000" w:rsidRPr="00000000" w:rsidDel="00000000">
              <w:rPr>
                <w:u w:val="single"/>
                <w:rtl w:val="0"/>
              </w:rPr>
              <w:t xml:space="preserve">Eiropas Savienības prasībām</w:t>
            </w:r>
            <w:r w:rsidR="00000000" w:rsidRPr="00000000" w:rsidDel="00000000">
              <w:rPr>
                <w:rtl w:val="0"/>
              </w:rPr>
              <w:t xml:space="preserve">, tomēr ne anotācijas 1.3. apakšsadaļā, ne 5. sadaļā netiek konkretizēta projekta saistība ar Eiropas Savienības tiesību aktiem, tostarp netiek skaidrots, kādas konkrēti Eiropas Savienības prasības un kā tieši tiek ieviestas vai izpildītas.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Reģistrētais turētājs var pārtraukt turējumu un atbildību par pārkāpumiem, kas ar transportlīdzekli varētu tikt izdarīti ceļu satiksmē, deklarējot turējuma pārtraukšanu un pārtraucot reģistrāciju uz laiku. Šajā gadījumā transportlīdzeklim izsniegto reģistrācijas apliecību CSDD atzīst par nederīgu, izdarot transportlīdzekļu reģistrā atzīmi “Reģistrācijas apliecība nav 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no projekta 2. punktā paredzētā grozāmo Ministru kabineta 2010. gada 30. novembra noteikumu Nr. 1080 "Transportlīdzekļu reģistrācijas noteikumi" (turpmāk – noteikumi) 30.</w:t>
            </w:r>
            <w:r w:rsidR="00000000" w:rsidRPr="00000000" w:rsidDel="00000000">
              <w:rPr>
                <w:b w:val="1"/>
                <w:vertAlign w:val="superscript"/>
                <w:rtl w:val="0"/>
              </w:rPr>
              <w:t xml:space="preserve">1</w:t>
            </w:r>
            <w:r w:rsidR="00000000" w:rsidRPr="00000000" w:rsidDel="00000000">
              <w:rPr>
                <w:b w:val="1"/>
                <w:rtl w:val="0"/>
              </w:rPr>
              <w:t xml:space="preserve"> punkta svītrot vārdkopu "un atbildību par pārkāpumiem, kas ar transportlīdzekli varētu tikt izdarīti ceļu satiksmē".  Atbilstoši likumdevēja pilnvarojumam, uz kā pamata izdoti noteikumi un administratīvās atbildības sistēmai (Administratīvās atbildības likuma 2. panta pirmā daļa), Ministru kabinets nedrīkst noteikt transportlīdzekļa turējuma pārtraukšanas sekas, kas var būt tikai likuma jautājums. Tas attiecas arī uz iespējamo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nevar noteikt likumdevēja kompetencē esošus jautājumus. Tas attiecas arī uz administratīvās atbildības piemērošanas gadījumiem un  jautājumiem, kas skar administratīvās atbildības piemērošanas sekas. Lai novērstu anotācijā minēto tiesību problēmu, kad turētājs arī pēc transportlīdzekļa nodošanas īpašniekam nevar pārtraukt turējumu un turpina saņemt  lēmumus par administratīvo sodu piemērošanu, pilnīgi pietiktu ar projektā paredzēto regulējumu, kas paredzēs transportlīdzekļa turētāja tiesības pārtraukt turējumu. Tādējādi, ja būs nepieciešams piemērot administratīvo atbildību saskaņā ar Administratīvās atbildības likuma 19. nodaļas noteikumiem, to piemēros reģistrā minētajam īpašniekam vai patiesajam transportlīdzekļa turētājam.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CSDD darbinieku tiesības izgatavot un pievienot reģistrāciju pamatojošiem dokumentiem reģistrācijai uzrādīto dokumentu kopijas, lūgums attiecīgi precizēt anotācijas 8.1.13.apakšpunktu atbilstoši Valsts kancelejas 2021. gada vadlīnijās sākotnējās ietekmes novērtēšanai un novērtējuma ziņojuma sagatavošanai vienotajā tiesību aktu izstrādes un saskaņošanas portālā noteiktajam (54.-55.lpp.), tajā skaitā norādot nolūku un tiesisko pamatu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CSDD darbiniekam ir tiesības izgatavot un pievienot reģistrāciju pamatojošiem dokumentiem reģistrācijai uzrādīto dokumentu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Dokumentu juridiskā spēka likuma 2. panta pirmajā daļā minētajam </w:t>
            </w:r>
            <w:r w:rsidR="00000000" w:rsidRPr="00000000" w:rsidDel="00000000">
              <w:rPr>
                <w:u w:val="single"/>
                <w:rtl w:val="0"/>
              </w:rPr>
              <w:t xml:space="preserve">dokumenta atvasinājums ir noraksts, izraksts vai kopija</w:t>
            </w:r>
            <w:r w:rsidR="00000000" w:rsidRPr="00000000" w:rsidDel="00000000">
              <w:rPr>
                <w:rtl w:val="0"/>
              </w:rPr>
              <w:t xml:space="preserve">. Savukārt Ministru kabineta 2018. gada 4. septembra noteikumu Nr. 558 "Dokumentu izstrādāšanas un noformēšanas kārtība" 39. punkts noteic, ka </w:t>
            </w:r>
            <w:r w:rsidR="00000000" w:rsidRPr="00000000" w:rsidDel="00000000">
              <w:rPr>
                <w:u w:val="single"/>
                <w:rtl w:val="0"/>
              </w:rPr>
              <w:t xml:space="preserve">dokumenta atvasinājums ir dokuments, kas pilnībā vai daļēji atveido dokumenta oriģinālu. Dokumenta atvasinājumu izstrādā noraksta, izraksta vai kopijas veidā, un šo noteikumu 47. punktā un turpmākajās tiesību normās ir noteiktas kopijas izstrādāšanas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32.</w:t>
            </w:r>
            <w:r w:rsidR="00000000" w:rsidRPr="00000000" w:rsidDel="00000000">
              <w:rPr>
                <w:vertAlign w:val="superscript"/>
                <w:rtl w:val="0"/>
              </w:rPr>
              <w:t xml:space="preserve">1</w:t>
            </w:r>
            <w:r w:rsidR="00000000" w:rsidRPr="00000000" w:rsidDel="00000000">
              <w:rPr>
                <w:rtl w:val="0"/>
              </w:rPr>
              <w:t xml:space="preserve"> punktā minētā termina "dokumenta kopija" lietošanu un nepieciešamības gadījumā precizēt to, kā arī precizēt anotācijas 1.3. apakšsadaļā ietverto informāciju, jo tajā minētas gan dokumentu kopijas, gan dokumentu atvasinājumi.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5</w:t>
            </w:r>
            <w:r w:rsidR="00000000" w:rsidRPr="00000000" w:rsidDel="00000000">
              <w:rPr>
                <w:rtl w:val="0"/>
              </w:rPr>
              <w:t xml:space="preserve"> Elektroskrejriteņa, velosipēda un velorikšas reģistrāciju persona var veikt, personīgi vēršoties CSDD klientu apkalpošanas centrā vai elektroniski autentificējoties CSDD e-pakalpojumos. Juridiska persona, kura, izmantojot mobilo lietotni vai tīmekļvietnes pakalpojumus, piedāvā iznomāt koplietošanas elektroskrejriteņus vai velosipēdus un kura noslēgusi sadarbības līgumu par informācijas apmaiņu ar CSDD (turpmāk – Iznomātājs), iznomāšanai paredzēto transportlīdzekļu reģistrāciju var veikt, izmantojot CSDD nodrošinātu tiešsaistes pieslēgumu transportlīdzekļu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Valsts pārvaldes iekārtas likuma 61. panta pirmajā daļā noteiktajam </w:t>
            </w:r>
            <w:r w:rsidR="00000000" w:rsidRPr="00000000" w:rsidDel="00000000">
              <w:rPr>
                <w:u w:val="single"/>
                <w:rtl w:val="0"/>
              </w:rPr>
              <w:t xml:space="preserve">publiskas personas sadarbības līgumu slēdz, lai panāktu vismaz vienas līdzējas — publiskas personas kompetencē ietilpstoša pārvaldes uzdevuma efektīvāku veikšanu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85.</w:t>
            </w:r>
            <w:r w:rsidR="00000000" w:rsidRPr="00000000" w:rsidDel="00000000">
              <w:rPr>
                <w:vertAlign w:val="superscript"/>
                <w:rtl w:val="0"/>
              </w:rPr>
              <w:t xml:space="preserve">5</w:t>
            </w:r>
            <w:r w:rsidR="00000000" w:rsidRPr="00000000" w:rsidDel="00000000">
              <w:rPr>
                <w:rtl w:val="0"/>
              </w:rPr>
              <w:t xml:space="preserve"> punktā un 85.</w:t>
            </w:r>
            <w:r w:rsidR="00000000" w:rsidRPr="00000000" w:rsidDel="00000000">
              <w:rPr>
                <w:vertAlign w:val="superscript"/>
                <w:rtl w:val="0"/>
              </w:rPr>
              <w:t xml:space="preserve">8</w:t>
            </w:r>
            <w:r w:rsidR="00000000" w:rsidRPr="00000000" w:rsidDel="00000000">
              <w:rPr>
                <w:rtl w:val="0"/>
              </w:rPr>
              <w:t xml:space="preserve">3. apakšpunktā ietvertā termina "sadarbības līgums" lietošanu un attiecīgi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Grozījumi šo noteikumu 2. punktā stājas spēkā 2026. gada 1.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neparedz grozījumu noteikumu 2. punktā, lūdzam precizēt projektā paredzētajā noteikumu 93. punktā noteikto, kā arī attiecīgi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2009. gada 3. februāra noteikumu Nr. 108 "Normatīvo aktu projektu sagatavošanas noteikumi" 110.1. apakšpunkts noteic, kā numurē grozījumu Ministru kabineta noteikumos projekta vienības, ja tam ir spēkā stāšanās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šo noteikumu 7., 8. un 9. punktā stājas spēkā 2026.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ir februāra sākums, un projekts netika izskatīts Ministru kabinetā līdz 2026. gada 1. februārim, lūdzam svītrot projektā paredzēto noteikumu 94. punktu, kā arī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Grozījumi šo noteikumu 29. punktā stājas spēkā 2026. gada 30.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neparedz grozījumu noteikumu 29. punktā, lūdzam precizēt projektā paredzētajā noteikumu 95. punktā noteikto, kā arī attiecīgi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2009. gada 3. februāra noteikumu Nr. 108 "Normatīvo aktu projektu sagatavošanas noteikumi" 110.1. apakšpunkts noteic, kā numurē grozījumu Ministru kabineta noteikumos projekta vienības, ja tam ir spēkā stāšanās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03.02.2026.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03.02.2026.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Atzinumi_25-TA-3057.docx</dc:title>
</cp:coreProperties>
</file>

<file path=docProps/custom.xml><?xml version="1.0" encoding="utf-8"?>
<Properties xmlns="http://schemas.openxmlformats.org/officeDocument/2006/custom-properties" xmlns:vt="http://schemas.openxmlformats.org/officeDocument/2006/docPropsVTypes"/>
</file>