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šo noteikumu </w:t>
            </w:r>
            <w:r w:rsidR="00000000" w:rsidRPr="00000000" w:rsidDel="00000000">
              <w:rPr>
                <w:rtl w:val="0"/>
              </w:rPr>
              <w:t xml:space="preserve">26.16.</w:t>
            </w:r>
            <w:r w:rsidR="00000000" w:rsidRPr="00000000" w:rsidDel="00000000">
              <w:rPr>
                <w:rtl w:val="0"/>
              </w:rPr>
              <w:t xml:space="preserve"> apakšpunktā minētās informācijas sistēmas pieaugušo izglītības īstenošanas atbalstam integrāciju ar 2.3.1.4.i. investīcijas pasākumā izstrādāto individuālo mācību kontu platformu, tostarp ieviešot izglītības programmu kvalitātes reitingu, kas tiek piesaistīts izglītības iestādei.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nosaukt konkrētu risinājumu, lai būtu iespējams identificēt, vai paredzēta patstāvīga valsts informācija sistēma (atbilstoši Valsts informācijas sistēmu likumam), vai arī tā ir atsevišķa funkcionalitāte individuālo mācību kontu platformas ietvaros. (Arī no anotācijā sniegtā apraksta šobrīd nav iegūstama atbilde uz šo jautājumu, kā arī nav gūstama pārliecība par dubultā finansējuma neesamību divu paralēlu sistēmu izstrādes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"6.1.1.5.pasākuma mērķis ir  Kurzemes, Latgales, Vidzemes un Zemgales </w:t>
            </w:r>
            <w:r w:rsidR="00000000" w:rsidRPr="00000000" w:rsidDel="00000000">
              <w:rPr>
                <w:b w:val="1"/>
                <w:rtl w:val="0"/>
              </w:rPr>
              <w:t xml:space="preserve">statistiskā reģiona </w:t>
            </w:r>
            <w:r w:rsidR="00000000" w:rsidRPr="00000000" w:rsidDel="00000000">
              <w:rPr>
                <w:rtl w:val="0"/>
              </w:rPr>
              <w:t xml:space="preserve">iedzīvotāju prasmju paaugstināšana (..)". Nepārprotamai skaidrībai, lūgums precizēt, saskaņā ar kuru spēkā esošo Statistiski teritoriālo vienību nomenklatūras 3. līmeņa (NUTS 3. līmenis) klasifikāciju šie statistiskie reģioni ir noteikti. Kopš 01.01.2024. Latvijā ir noteikti pieci statistiskie reģioni – Rīga, Zemgale, Vidzeme, Latgale un Kurzeme, kas sakrīt ar Latvijā esošajiem plānošanas reģioniem, savukārt, piemēram, 2022. gada 25. novembrī spēkā esošā Statistiski teritoriālo vienību nomenklatūras 3. līmeņa (NUTS 3. līmenis) klasifikācija atšķīrās no spēkā esošajām Latvijas plānošanas reģionu teritorijām. Tāpat, precizējot augstāk minēto, aicinām visā anotācijas tekstā ievērot konsekvenci un, kur tas attiecināms, pielietot atbilstošu reģiona - statistiskā vai plānošanas -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iepazinusies ar Izglītības un zinātnes ministrijas sagatavoto 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noteikumu projektu un tā anotāciju, un sniedz sekojošu iebildumu: aicinām precizēt VARAM nosaukumu, ņemot vērā, ka ar š.g. 1.jūliju Vides aizsardzības un reģionālās attīstības ministrija tika pārdēvēta par Viedās administrācijas un reģionālās attīstības ministriju. Lūgums šo ņemt vērā un precizēt arī pārējā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pasākuma īstenošanai nepieciešamās informācijas sistēmas pakāpeniska pāreja uz Atveseļošanas un noturības mehānisma plāna 2. komponentes “Digitālā transformācija” 2.3. reformas un investīciju virziena “Digitālās prasmes” 2.3.1.4.i. investīcijas “Individuālo mācību kontu pieejas attīstība” (turpmāk - 2.3.1.4.i. investīcija) pasākumā izveidoto informācijas sistēmu nozīmē patstāvīgas informācijas sistēmas izstrādi un vēlāku likvidāciju. Proti, kā šāda "pakāpeniska pāreja" tiks īstenota praktiski un kā paredzēts izvairīties no dubultā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 projekta izstrādē iesaistītajām institūcijām minētie Kurzemes, Latgales, Vidzemes un Zemgales plānošanas reģioni nav nevalstiskās organizācijas, bet gan ir iekļaujamas pie šajā anotācijas punktā uzskaitītajām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pieaugušo izglītības īstenošanas atbalstam paredzētās informācijas sistēmas attīstība un uzturēšana personu reģistrēšanas, datu uzkrāšanas un analīzes nodrošināšanai projekta ietvaros, ievērojot šo noteikumu </w:t>
            </w:r>
            <w:r w:rsidR="00000000" w:rsidRPr="00000000" w:rsidDel="00000000">
              <w:rPr>
                <w:rtl w:val="0"/>
              </w:rPr>
              <w:t xml:space="preserve">54.</w:t>
            </w:r>
            <w:r w:rsidR="00000000" w:rsidRPr="00000000" w:rsidDel="00000000">
              <w:rPr>
                <w:rtl w:val="0"/>
              </w:rPr>
              <w:t xml:space="preserve">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šā punkta precizējumu, lai pie dažādiem iespējamiem risinājumiem (piemēram, integrācija vai funkcionalitātes izstrāde citā sistēmā) būtu iespējams attiecināt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