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Vides pārraudzības valsts biroja un Būvniecības valsts kontroles biroja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pārraudzības valsts biroja un Būvniecības valsts kontroles biroja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projekts nevar tikt atzīts par steidzamu, jo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w:t>
            </w:r>
            <w:r w:rsidR="00000000" w:rsidRPr="00000000" w:rsidDel="00000000">
              <w:rPr>
                <w:b w:val="1"/>
                <w:rtl w:val="0"/>
              </w:rPr>
              <w:t xml:space="preserve">Steidzamība jāpamato pēc būtības, norādot konkrētās nelabvēlīgās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ar 2025. gada 1. februāri Vides pārraudzības valsts biroja nosaukums ir Enerģētikas un vides aģentūra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mainīt Vides pārraudzības valsts biroja nosaukumu, turpmāk iestādi dēvējot par Enerģētikas un vides aģentūru. Publisko aģentūru likums paredz, ka valsts aģentūra ir Ministru kabineta locekļa padotībā esoša iestāde, kurai ar likumu vai Ministru kabineta noteikumiem ir noteikta kompetence pakalpojumu sniegšanas jomā. No rīkojuma projekta un tā sākotnējās ietekmes novērtējuma ziņojumā (anotācijā) norādītā secināms, ka nav plānots Enerģētikas un vides aģentūru veidot kā valsts aģentūru atbilstoši Publisko aģentūru likumam. Ievērojot minēto, lai gan šobrīd valsts pārvaldē vairākām valsts tiešās pārvaldes iestādēm, kuras neatbilst Publisko aģentūru likumā noteiktajam, vēsturiski nosaukumā joprojām ir saglabājies vārds "aģentūra", tomēr aicinām izvairīties no šī vārda lietošanas, lai neradītu maldīgu priekšstatu par iestādes juridisko statusu. Ievērojot iepriekš minēto, lūdzam izvērtēt iespēju iestādes jaunajā nosaukumā neietvert vārdu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Būvniecības valsts kontroles biroja funkciju (izņemot IT sistēmu (ALDIS, EIKIS, ERIS, ENER) uzturēšanas funkciju), pārvaldes uzdevumu, tiesību, saistību, resursu, mantas, finanšu līdzekļu pārņēmēja, attiecībā uz šā rīkojuma 2. punktā minēto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abreviatūru lietošana nenodrošina tiesisko skaidrību, lūdzam precizēt rīkojuma projekta apakšpunktu un lietot pilnos informācijas sistēmu nosaukumus.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Aģentūrai līdz 2025. gada 4. februārim noslēgt starpresoru vienošanos ar Būvniecības valsts kontroles biroju par enerģētikas politikas administrēšanas informācijas tehnoloģiju sistēmu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ka Būvniecības valsts kontroles biroja un Vides pārraudzības valsts biroja reorganizācija veicama ar 2025. gada 1. februāri. Ņemot vērā, ka iestādei ir nepieciešami atbilstoši resursi, tostarp piekļuve informācijas tehnoloģiju sistēmām, lai tā varētu veikt savas funkcijas un uzdevumus, lūdzam precizēt, ka starpresoru vienošanās ir noslēdzama līdz 2025. gada 1. februārim vai attiecīgi skaidrot, kāpēc tas veicams ilgākā laika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samazināts amata vietu skaits BVKB, attiecīgi arī samazinot finansējumu, lūdzam papildināt anotāciju, norādot vai un kā tas ietekmēs amatu klasifikāciju un mēnešalgu grupu BVKB, ņemot vērā MK 26.04.2022. noteikumu Nr. 262 32.punktā noteiktos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tiek paredzētas jaunas iestādes - EVA izveide, lūdzam attiecīgi sniegt informāciju par potenciālo EVA vadītāja amata klasfikāciju, ņemot vērā kopējo amata vietu skaitu un potenciālo budžetu.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pielikumus ar atsevišķu pielikumu par amata vietu nodošanu no BVKB uz EVA, norādot amata nosaukumu, amata klasifikāciju (amata saime, apakšsaime, līmenis un mēnešalgu grupa), amata statusu (ierēdnis vai darbinieks) un izdevumus atlīdzībai, sadalījumā pa atlīdzības elementiem.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atsevišķi 4.1.2. apakšpunktos minētos tiesību aktus, aprakstot tajos veicamās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tiešajā pārvaldē padotību pārraudzības formā īsteno, ja likumdevējs to ir noteicis, piemēram, nozares likumā. Pirmšķietami konstatējams, ka speciālos normatīvajos aktos, piemēram, likumā "Par ietekmes uz vidi novērtējumu", nav norādīts, ka Vides pārraudzības valsts biroja padotību īsteno pārraudzības formā. Ievērojot minēto, izstrādājot saistītos normatīvos aktus, aicinām izvērtēt nepieciešamību par Vides pārraudzības valsts biroja padotības formas norādīšanu nozari regulējošā likumā vai arī, izstrādājot grozījumus Vides pārraudzības valsts biroja nolikumā, pārskatīt iestādes padotības formu, aizstājot "pārraudzība" ar "pakļautība". Vēršam uzmanību, ka jautājums saistībā ar turpmāko praksi iestāžu nolikumu sagatavošanā tika izskatīts arī Valsts iestāžu juridisko dienestu vadītāju 2024. gada 5. septembra sanāksmē (prot. Nr. 2 3. §)  (protokols pieejams: https://tai.mk.gov.lv/protokoli).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4.2. apakšpunktā ietverto informāciju norādīt anotācijas 4.1. apakšpunktā atbilstoši Vadlīnijās sākotnējās ietekmes izvērtēšanai un novērtējuma ziņojuma sagatavošanai Vienotajā tiesību aktu izstrādes un saskaņošanas portālā (pieejams: https://www.mk.gov.lv/sites/mk/files/media_file/tap_anotacija_vadlinijas.pdf) norādītajam, proti, aprakstot katru minēto tiesību aktu atsevišķi un skaidrojot izmaiņu nepieciešamību konkrētajā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norādot, kāpēc netiek nodrošināta sabiedrības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2.pielikumu - ņemot vērā, ka 2025.gada janvārī enerģētikas sektors turpina darbu BVKB sastāvā, tad nepieciešams precizēt arī ieņēmumus no nodevām, attiecīgi nodalot janvāra prognozējamos ieņēmumus no pārējiem 11 mēnešu ieņēmumiem, kuru iekasēšanu veiks EVA.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aģentūru izveido ar 01.02.2025. (rīkojuma projekta 2. un 3. punkti), kas secīgi nozīmē, ka tās budžets 2025.gadam var būt tikai 11 mēnešiem. Lūdzam attiecīgi precizēt 1.pielikumā norādīto tāmi 2025.gadam vai arī anotācijas 3.sadaļas 6.punktā sniegt informāciju, kāpēc budžets nepilnam kalendārajam gadam (no 1.februāra)  ir tikpat liels, cik pilnam gadam (2026. un 2027.gads).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Valsts pārvaldes iekārtas likuma 15. panta trešās daļas 4. punktu ar 2025. gada 1. februāri reorganizēt Vides pārraudzības valsts biroju un Būvniecības valsts kontroles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tiesību aktu (likumi.lv), tas ir, atsauci uz tīmekļvietnē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līdz 2025. gada 1. aprīlim nodrošināt Būvniecības valsts kontroles biroja materiālo un nemateriālo vērtību, finanšu līdzekļu un saistību inventarizāciju, novērtēšanu, salīdzināšanu un materiālo un nemateriālo vērtību, finanšu līdzekļu, saistību nodošanu Aģentūrai šā rīkojuma 4.2. apakšpunktā minēto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ka Būvniecības valsts kontroles biroja un Vides pārraudzības valsts biroja reorganizācija veicama ar 2025. gada 1. februāri, savukārt rīkojuma projekta 7. punkts paredz, ka materiālo un nemateriālo vērtību, finanšu līdzekļu un saistību inventarizācija, novērtēšana, salīdzināšana un materiālo un nemateriālo vērtību, finanšu līdzekļu, saistību nodošana veicama līdz 2025. gada 1. aprīlim. Ņemot vērā, ka iestādei ir nepieciešami atbilstoši resursi, lai tā varētu veikt savas funkcijas un uzdevumus, aicinām izvērtēt iespēju minētās darbības paveikt līdz reorganizācijai, proti, 2025. gada 1. februārim.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tiesību akta veidam un norādīt numerāciju, kā arī pirmo punktu norādīt tam paredzētajā laukā, nevis laukā "runātāji", kas tiek aizpildīts pēc Ministru kabineta sēdes.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w:t>
            </w:r>
            <w:r w:rsidR="00000000" w:rsidRPr="00000000" w:rsidDel="00000000">
              <w:rPr>
                <w:u w:val="single"/>
                <w:rtl w:val="0"/>
              </w:rPr>
              <w:t xml:space="preserve">rīkojuma</w:t>
            </w:r>
            <w:r w:rsidR="00000000" w:rsidRPr="00000000" w:rsidDel="00000000">
              <w:rPr>
                <w:rtl w:val="0"/>
              </w:rPr>
              <w:t xml:space="preserve">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24-TA-2671</w:t>
    </w:r>
    <w:r>
      <w:br/>
    </w:r>
    <w:r w:rsidR="00000000" w:rsidRPr="00000000" w:rsidDel="00000000">
      <w:rPr>
        <w:rtl w:val="0"/>
      </w:rPr>
      <w:t xml:space="preserve">Izdrukāts 25.10.2024.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24-TA-2671</w:t>
    </w:r>
    <w:r>
      <w:br/>
    </w:r>
    <w:r w:rsidR="00000000" w:rsidRPr="00000000" w:rsidDel="00000000">
      <w:rPr>
        <w:rtl w:val="0"/>
      </w:rPr>
      <w:t xml:space="preserve">Izdrukāts 25.10.2024.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Atzinumi_24-TA-2671.docx</dc:title>
</cp:coreProperties>
</file>

<file path=docProps/custom.xml><?xml version="1.0" encoding="utf-8"?>
<Properties xmlns="http://schemas.openxmlformats.org/officeDocument/2006/custom-properties" xmlns:vt="http://schemas.openxmlformats.org/officeDocument/2006/docPropsVTypes"/>
</file>