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pasākumiem administratīvā sloga mazināšanai elektronisko sakaru tīkla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Satiksmes ministrijai aktualizēt un satiksmes ministram normatīvajos aktos noteiktajā kārtībā līdz 2024.gada 30.decembrim iesniegt Ministru kabinetā izskatīšanai  likumprojektu “Grozījumi Dzīvokļu īpašuma likumā”.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Lūdzam tehniski precizēt normatīvā akta nosaukumu - Dzīvokļ</w:t>
            </w:r>
            <w:r w:rsidR="00000000" w:rsidRPr="00000000" w:rsidDel="00000000">
              <w:rPr>
                <w:b w:val="1"/>
                <w:rtl w:val="0"/>
              </w:rPr>
              <w:t xml:space="preserve">a</w:t>
            </w:r>
            <w:r w:rsidR="00000000" w:rsidRPr="00000000" w:rsidDel="00000000">
              <w:rPr>
                <w:rtl w:val="0"/>
              </w:rPr>
              <w:t xml:space="preserve"> īpašuma likums.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Lūdzam izvērtēt, vai atbilstoši informatīvā ziņojuma projekta tekstā minētajam arī MK protokollēmuma projektā nebūtu nepieciešams identificēt minētos tiesību akta grozījumus (piemēram, atsaucoties uz iepriekš izstrādāto tiesību akta projektu).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Baiba Cīrule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07.05.2024. 23.49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07.05.2024. 23.49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