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atbilstoši Ministru kabineta 2021. gada 7. septembra noteikumu Nr. 617 "Tiesību akta projekta sākotnējās ietekmes izvērtēšanas kārtība" (turpmāk - noteikumi Nr. 617) 9.1. apakšpunktam nodrošinot, ka anotācijā ir sniegts skaidrojums par visu noteikumu projektā paredzēto grozījumu būtību, nepieciešamību un mērķi. Norādām, ka šobrīd anotācijā nav sniegts skaidrojums par noteikumu projekta 7. punkta (ciktāl netiek paredzēts, ka IMI sistēmas piekļuves pārvaldnieks reglamentēto profesiju un profesionālās kvalifikācijas atzīšanas jomā Latvijā ir Izglītības un zinātnes ministrija), 58. punkta būtību, nepieciešamību un mērķi, tāpat nav arī sniegts pamatots skaidrojums par noteikumu projekta 15. un 16. punktā paredzēto kompetenci, tai skaitā nav saprotams, vai no minētās kompetences izrietošie pienākumi un tiesības ietverti Eiropas Savienības tiesību aktos, kā arī pamatojums noteikumu projekta 15. un 16. punktā minēto institūciju izvēlei.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617 9.19. apakšpunktu, lūdzam papildināt noteikumu projekta anotācijas 5.4.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ar skaidrojumu par konkrētu Eiropas Parlamenta un Padomes 2012. gada 25. oktobra Regulas (ES) Nr. 1024/2012 par administratīvo sadarbību, izmantojot Iekšējā tirgus informācijas sistēmu, un ar ko atceļ Komisijas Lēmumu 2008/49/EK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2015. gada 24. jūnija Īstenošanas regulas Nr. 2015/983 par Eiropas profesionālās kartes izdošanu un brīdināšanas mehānisma piemērošanu saskaņā ar Eiropas Parlamenta un Padomes Direktīvu 2005/36/EK prasību ieviešanu noteikumu projektā, ņemot vērā, ka ar noteikumu projektu paredzēts izdarīt grozījumus Ministru kabineta 2016. gada 28. jūnija noteikumu Nr. 419 "Noteikumi par informācijas apmaiņas un uzraudzības kārtību Iekšējā tirgus informācijas sistēmas ietvaros, informācijas apmaiņā iesaistīto iestāžu atbildību un Eiropas profesionālās kartes izdošanas kārtību" (turpmāk - noteikumi Nr. 419) vienībās, ar kurām iepriekš ieviestas minēto regulu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ar skaidrojumu par Eiropas Parlamenta un Padomes 2006. gada 12. decembra Direktīvas 2006/123/EK par pakalpojumiem iekšējā tirgū, Eiropas Parlamenta un Padomes 2011. gada 9. marta Direktīvas 2011/24/ES par pacientu tiesību piemērošanu pārrobežu veselības aprūpē, Eiropas Parlamenta un Padomes 2013. gada 20. novembra Direktīvas 2013/55/ES, ar ko groza Direktīvu 2005/36/EK par profesionālo kvalifikāciju atzīšanu un Regulu (ES) Nr. 1024/2012 par administratīvo sadarbību, izmantojot Iekšējā tirgus informācijas sistēmu (IMI regulu), Eiropas Parlamenta un Padomes 2014. gada 15. maija Direktīvas 2014/60/ES par no dalībvalsts teritorijas nelikumīgi izvestu kultūras priekšmetu atgriešanu un ar ko groza Regulu (ES) Nr. 1024/2012, Eiropas Parlamenta un Padomes 2014. gada 15. maija Direktīvas 2014/67/ES par to, kā izpildīt Direktīvu 96/71/EK par darba ņēmēju norīkošanu darbā pakalpojumu sniegšanas jomā, un ar ko groza Eiropas Parlamenta un Padomes Regulu (ES) Nr. 1024/2012 par administratīvo sadarbību, izmantojot Iekšējā tirgus informācijas sistēmu, "Eiropas Parlamenta un Padomes 2020. gada 15. jūlija Direktīvas 2020/1057, ar ko attiecībā uz izpildes nodrošināšanas prasībām groza Direktīvu 2006/22/EK un attiecībā uz Direktīvu 96/71/EK un Direktīvu 2014/67/ES nosaka īpašus noteikumus autotransporta nozarē strādājošo transportlīdzekļu vadītāju norīkošanai darbā, un groza Regulu (ES) Nr. 1024/2012, Eiropas Parlamenta un Padomes 2021. gada 24. marta Direktīvas 2021/555 par ieroču iegādes un glabāšanas kontroli u.c. direktīvu (tai skaitā noteikumu projektā paredzētajās informatīvajās atsaucēs minēto direktīvu, kā arī direktīvu, kas jau ir pārņemtas noteikumu Nr. 419 vienībās, kuras ar noteikumu projektu paredzēts grozīt) pārņemšanu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2009. gada 3. februāra noteikumu Nr. 108 "Normatīvo aktu projektu sagatavošanas noteikumi" (turpmāk - noteikumi Nr. 108) 100.2. apakšpunktu noteikumu projekta pirmajā punktā raksta (pārraksta) likumā noteikto pilnvarojumu Ministru kabinetam. Attiecīgi lūdzam precizēt noteikumu projekta 1.-8. punktu, nodrošinot, ka noteikumu Nr. 419 1. punktā ir precīzi atspoguļots Brīvas pakalpojumu sniegšanas likuma 22. panta otrajā daļā un likuma "Par reglamentētajām profesijām un profesionālās kvalifikācijas atzīšanu" (turpmāk abi kopā - Likumi) 36. panta 11. punktā un 56. panta pirmās daļas 3.-8. punktā ietvertais pilnvarojums. Nepieciešamības gadījumā lūdzam precizēt arī citas noteikumu projekta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IMI sistēmas izmantošanas mērķis ir nodrošināt informācijas apmaiņu starp Latvijas Republikas kompetentajām iestādēm un dalībvalstu kompetentajām iestādēm un Eiropas Komisiju, piemērojot Eiropas Savienības tiesību aktus jomās, kuras iekļautas Eiropas Parlamenta un Padomes 2012. gada 25. oktobra Regulas (ES) Nr. 1024/2012 par administratīvo sadarbību, izmantojot Iekšējā tirgus informācijas sistēmu, un ar ko atceļ Komisijas Lēmumu 2008/49/EK (turpmāk – regula Nr. 1024/2012), pielikumā, kā arī nodrošināt informācijas apmaiņu starp pretendentiem, Latvijas Republikas un dalībvalstu kompetentajām iestādēm saskaņā ar Eiropas Komisijas 2015. gada 24. jūnija Īstenošanas regulu Nr. 2015/983 par Eiropas profesionālās kartes izdošanu un brīdināšanas mehānisma piemērošanu saskaņā ar Eiropas Parlamenta un Padomes Direktīvu </w:t>
            </w:r>
            <w:r w:rsidR="00000000" w:rsidRPr="00000000" w:rsidDel="00000000">
              <w:rPr>
                <w:rtl w:val="0"/>
              </w:rPr>
              <w:t xml:space="preserve">2005/36/EK</w:t>
            </w:r>
            <w:r w:rsidR="00000000" w:rsidRPr="00000000" w:rsidDel="00000000">
              <w:rPr>
                <w:rtl w:val="0"/>
              </w:rPr>
              <w:t xml:space="preserve"> (turpmāk – regula Nr. 2015/983).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kopumā skaidri neizriet, kas ir saprotams ar terminu - kompetentās iestādes -, tai skaitā, vai ar šīm iestādēm saprotami vienīgi noteikumu projektā ietvertajā noteikumu Nr. 419 7., 7.</w:t>
            </w:r>
            <w:r w:rsidR="00000000" w:rsidRPr="00000000" w:rsidDel="00000000">
              <w:rPr>
                <w:vertAlign w:val="superscript"/>
                <w:rtl w:val="0"/>
              </w:rPr>
              <w:t xml:space="preserve">1</w:t>
            </w:r>
            <w:r w:rsidR="00000000" w:rsidRPr="00000000" w:rsidDel="00000000">
              <w:rPr>
                <w:rtl w:val="0"/>
              </w:rPr>
              <w:t xml:space="preserve"> un 7.</w:t>
            </w:r>
            <w:r w:rsidR="00000000" w:rsidRPr="00000000" w:rsidDel="00000000">
              <w:rPr>
                <w:vertAlign w:val="superscript"/>
                <w:rtl w:val="0"/>
              </w:rPr>
              <w:t xml:space="preserve">2</w:t>
            </w:r>
            <w:r w:rsidR="00000000" w:rsidRPr="00000000" w:rsidDel="00000000">
              <w:rPr>
                <w:rtl w:val="0"/>
              </w:rPr>
              <w:t xml:space="preserve"> punktā norādītie tiesību subjekti. Ja noteikumu projektā ietvertais regulējums attiecās gan uz Brīvas pakalpojumu sniegšanas likumā minētajiem tiesību subjektiem - Latvijas Republikas atbildīgajām iestādēm un tirgus uzraudzības iestādēm un citu dalībvalstu atbildīgajām iestādēm un tirgus uzraudzības iestādēm, gan uz likumā "Par reglamentētajām profesijām un profesionālās kvalifikācijas atzīšanu" minētajām Eiropas Savienības dalībvalstu un Eiropas Ekonomikas zonas valstu kompetentajām institūcijām u.c. tiesību subjektiem, lūdzam izvērtēt un, piemēram, atrunāt noteikumu projektā atbilstošu saīsinājumu - kompetentā iestāde -, precīzi norādot, kādus tiesību subjektus aptvers attiecīgais saīsinājums bet noteikumu projekta anotācijā sniedzot pamatojumu tam, ka konkrētās noteikumu projekta normas attiecināmas uz visām kompetentajām iestādēm, bet ne konkrētām minētajos likumos norādītajām institūcijām (skaidrojot arī to, vai tādējādi netiek pārsniegtas noteikumu projekta izdošanas tiesiskajā pamatā paredzētā pilnvarojuma robežas), piemēram, atbildīgajām iestādēm un tirgus uzraudzības iestādēm, uz kurām norādīts vienīgi Brīvas pakalpojumu sniegšanas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Kompetentajām iestādēm atbilstoši kompetencei ir šādas tiesības un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18. punktā atsevišķi norādīt kompetentās iestādes tiesības un pienākumus,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Kompetentajām iestādēm atbilstoši kompetencei ir šādas tiesības un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skaidri saprotams, kuras iestādes atbilstoši noteikumu projekta 18. punktam ir kompetentās iestādes, turklāt norāde uz kompetentajām iestādēm atbilstoši kompetencei ir redakcionāli nekorekta, tādēļ lūdzam precizēt noteikumu projektu un sniegt atbilstošu skaidrojumu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Kompetentā iestāde nodrošina, lai IMI sistēmā tiktu reģistrēta atbildīgā kontaktpersona, kas paziņo par tehnisko noteikumu projektiem pakalpojumu jomā. Atbildīgo kontaktpersonu IMI sistēmā reģistrē nacionālais IMI sistēmas koordinators vai IMI sistēmas piekļuves pārvaldnieks.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anotācijā skaidrot, vai noteikumu Nr. 419 43. punktā ietvertais pienākums attiecināms uz IMI sistēmas piekļuves pārvaldnieku vai nacionālo IMI sistēmas piekļuves pārvaldnieku. Nepieciešamības gadījumā lūdzam precizēt noteikumu projekta 55.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Par tehnisko noteikumu projektu pakalpojumu jomā nav jāpaziņo IMI sistēmā, ja tas vienlaikus ir tehnisko noteikumu projekts produktu jomā un par to ir paziņots Tehnisko noteikumu informācijas sistēmā (TRIS) saskaņā ar Eiropas Parlamenta un Padomes 2015. gada 9. septembra Direktīvas (ES) 2015/1535, ar ko nosaka informācijas sniegšanas kārtību tehnisko noteikumu un Informācijas sabiedrības pakalpojumu noteikumu jomā paredzēto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panta trešo daļu direktīvas dalībvalstīm uzliek saistības attiecībā uz sasniedzamo rezultātu, bet ļauj šo valstu varasiestādēm noteikt to īstenošanas formas un metodes. Proti, direktīvas atšķirībā no regulām nav tieši piemērojams Eiropas Savienības tiesību akts, līdz ar to Latvijas tiesību aktu tekstos (normās) neietver atsauces uz direktīvām. Ievērojot minēto, lūdzam precizēt noteikumu projektu, izslēdzot no tā atsauci uz direktīvu, bet tā vietā pārņemt attiecīgās direktīvas prasības noteikumu projektā vai izdarot atsauces uz Latvijas ārējiem normatīvajiem aktiem, ar kuriem attiecīgās direktīvas prasības ir pārņemtas nacionālajā tiesību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62.2. ja nav saņemta informācija no šo noteikumu </w:t>
            </w:r>
            <w:r w:rsidR="00000000" w:rsidRPr="00000000" w:rsidDel="00000000">
              <w:rPr>
                <w:rtl w:val="0"/>
              </w:rPr>
              <w:t xml:space="preserve">61.2.1.</w:t>
            </w:r>
            <w:r w:rsidR="00000000" w:rsidRPr="00000000" w:rsidDel="00000000">
              <w:rPr>
                <w:rtl w:val="0"/>
              </w:rPr>
              <w:t xml:space="preserve"> apakšpunktā minētajiem reģistriem, pieprasīt pretendentam vienas nedēļas laikā iesniegt izglītību un profesionālo kvalifikāciju apliecinošu dokumentu oriģinālus vai to izdevējiestāžu apliecinātas kopijas.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73. punktā norādīt atskaites punktu vienas nedēļas termiņa aprēķināšanai, tādējādi nodrošinot attiecīgās normas nepārprotamu izteiksmi. Tāpat līdzīgi lūdzam arī cituviet noteikumu projektā, piemēram, 31., 32. punktā u.c. norādīt atskaites punktus attiecīgo termiņu aprēķināšanai.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noteikumi satur tiesību normas, proti, vispārējus, saistošus un vairākkārt piemērojamus uzvedības noteikumus, nevis informāciju, tādēļ lūdzam precizēt noteikumu projekta anotāciju, no kuras izriet, ka Ministru kabineta noteikumos ir ietverta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IMI sistēmas izmantošanas mērķis ir nodrošināt informācijas apmaiņu starp Latvijas Republikas kompetentajām iestādēm un dalībvalstu kompetentajām iestādēm un Eiropas Komisiju, piemērojot Eiropas Savienības tiesību aktus jomās, kuras iekļautas Eiropas Parlamenta un Padomes 2012. gada 25. oktobra Regulas (ES) Nr. 1024/2012 par administratīvo sadarbību, izmantojot Iekšējā tirgus informācijas sistēmu, un ar ko atceļ Komisijas Lēmumu 2008/49/EK (turpmāk – regula Nr. 1024/2012), pielikumā, kā arī nodrošināt informācijas apmaiņu starp pretendentiem, Latvijas Republikas un dalībvalstu kompetentajām iestādēm saskaņā ar Eiropas Komisijas 2015. gada 24. jūnija Īstenošanas regulu Nr. 2015/983 par Eiropas profesionālās kartes izdošanu un brīdināšanas mehānisma piemērošanu saskaņā ar Eiropas Parlamenta un Padomes Direktīvu </w:t>
            </w:r>
            <w:r w:rsidR="00000000" w:rsidRPr="00000000" w:rsidDel="00000000">
              <w:rPr>
                <w:rtl w:val="0"/>
              </w:rPr>
              <w:t xml:space="preserve">2005/36/EK</w:t>
            </w:r>
            <w:r w:rsidR="00000000" w:rsidRPr="00000000" w:rsidDel="00000000">
              <w:rPr>
                <w:rtl w:val="0"/>
              </w:rPr>
              <w:t xml:space="preserve"> (turpmāk – regula Nr. 2015/983).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vairākām noteikumu projekta vienībām termini “atbildīgās iestādes, "tirgus uzraudzības iestādes”, “kompetentās institūcijas”, “institūcijas” un “Latvijas kompetentās institūcijas” u.c. tiek aizstāti ar terminu "kompetentās iestādes", lūdzam izvērtēt un attiecīgos grozījumus noteikumos Nr. 419 ietvert vienā noteikumu projekta punktā saskaņā ar noteikumu Nr. 108 152. un 153. punktu, attiecinot to uz visu noteikumu Nr. 419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Latvijas kompetentajai iestādei ir šādas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vienībām lūdzam, izsakot jaunā redakcijā noteikumu Nr. 419 vienības, neiekļaut norādes uz svītrotām minēto noteikumu vienību apakšvienībām.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2005. gada 7. septembra </w:t>
            </w:r>
            <w:r w:rsidR="00000000" w:rsidRPr="00000000" w:rsidDel="00000000">
              <w:rPr>
                <w:rtl w:val="0"/>
              </w:rPr>
              <w:t xml:space="preserve">2005/36/EK</w:t>
            </w:r>
            <w:r w:rsidR="00000000" w:rsidRPr="00000000" w:rsidDel="00000000">
              <w:rPr>
                <w:rtl w:val="0"/>
              </w:rPr>
              <w:t xml:space="preserve"> par profesionālo kvalifikāciju atzīšanu.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75. punktu, norādot uz to, ka attiecīgais tiesību akts ir direktīva.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